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C37DB" w14:textId="77777777" w:rsidR="00D22DF0" w:rsidRPr="00D22DF0" w:rsidRDefault="00D22DF0" w:rsidP="00FD2BC0">
      <w:pPr>
        <w:numPr>
          <w:ilvl w:val="0"/>
          <w:numId w:val="2"/>
        </w:numPr>
        <w:jc w:val="both"/>
        <w:rPr>
          <w:rFonts w:cs="Arial"/>
          <w:b/>
          <w:bCs/>
          <w:szCs w:val="16"/>
        </w:rPr>
      </w:pPr>
      <w:r>
        <w:rPr>
          <w:rFonts w:cs="Arial"/>
          <w:b/>
          <w:bCs/>
          <w:szCs w:val="16"/>
        </w:rPr>
        <w:t>Kapitola</w:t>
      </w:r>
      <w:r w:rsidR="00052350">
        <w:rPr>
          <w:rFonts w:cs="Arial"/>
          <w:b/>
          <w:bCs/>
          <w:szCs w:val="16"/>
        </w:rPr>
        <w:t xml:space="preserve"> 2. Základné definície, mení sa bod č. 15 nasledovn</w:t>
      </w:r>
      <w:r>
        <w:rPr>
          <w:rFonts w:cs="Arial"/>
          <w:b/>
          <w:bCs/>
          <w:szCs w:val="16"/>
        </w:rPr>
        <w:t>e:</w:t>
      </w:r>
    </w:p>
    <w:p w14:paraId="66D7A892" w14:textId="77777777" w:rsidR="00D22DF0" w:rsidRDefault="00D22DF0" w:rsidP="00FD2BC0">
      <w:pPr>
        <w:autoSpaceDE w:val="0"/>
        <w:autoSpaceDN w:val="0"/>
        <w:adjustRightInd w:val="0"/>
        <w:spacing w:before="120" w:after="120"/>
        <w:ind w:left="360"/>
        <w:jc w:val="both"/>
        <w:rPr>
          <w:rFonts w:cs="Arial"/>
          <w:szCs w:val="16"/>
        </w:rPr>
      </w:pPr>
      <w:r>
        <w:rPr>
          <w:rFonts w:cs="Arial"/>
          <w:szCs w:val="16"/>
        </w:rPr>
        <w:t>„</w:t>
      </w:r>
      <w:r w:rsidR="00052350" w:rsidRPr="00052350">
        <w:rPr>
          <w:rFonts w:cs="Arial"/>
          <w:szCs w:val="16"/>
        </w:rPr>
        <w:t>Správa o zistenej nezrovnalosti – dokument vypracovaný a schválený riadiacim orgánom, sprostredkovateľským orgánom, orgánom auditu a jeho spolupracujúcim orgánom alebo Ministerstvom financií SR ako správnym orgánom I. stupňa, na</w:t>
      </w:r>
      <w:r w:rsidR="00052350">
        <w:rPr>
          <w:rFonts w:cs="Arial"/>
          <w:szCs w:val="16"/>
        </w:rPr>
        <w:t> </w:t>
      </w:r>
      <w:r w:rsidR="00052350" w:rsidRPr="00052350">
        <w:rPr>
          <w:rFonts w:cs="Arial"/>
          <w:szCs w:val="16"/>
        </w:rPr>
        <w:t>základe ktorého je oficiálne zdokumentované zistenie nezrovnalosti alebo podozrenie z nezrovnalosti v jednotlivých štádiách vývoja nezrovnalosti v ITMS.</w:t>
      </w:r>
      <w:r>
        <w:rPr>
          <w:rFonts w:cs="Arial"/>
          <w:szCs w:val="16"/>
        </w:rPr>
        <w:t>“;</w:t>
      </w:r>
    </w:p>
    <w:p w14:paraId="7A6AC4F9" w14:textId="77777777" w:rsidR="00F5157F" w:rsidRPr="00F5157F" w:rsidRDefault="00F5157F" w:rsidP="00F5157F">
      <w:pPr>
        <w:numPr>
          <w:ilvl w:val="0"/>
          <w:numId w:val="2"/>
        </w:numPr>
        <w:jc w:val="both"/>
        <w:rPr>
          <w:rFonts w:cs="Arial"/>
          <w:b/>
          <w:bCs/>
          <w:szCs w:val="16"/>
        </w:rPr>
      </w:pPr>
      <w:r w:rsidRPr="00F5157F">
        <w:rPr>
          <w:rFonts w:cs="Arial"/>
          <w:b/>
          <w:szCs w:val="16"/>
        </w:rPr>
        <w:t xml:space="preserve">Kapitola </w:t>
      </w:r>
      <w:r w:rsidRPr="00F5157F">
        <w:rPr>
          <w:rFonts w:cs="Arial"/>
          <w:b/>
          <w:bCs/>
          <w:szCs w:val="16"/>
        </w:rPr>
        <w:t>3.</w:t>
      </w:r>
      <w:r w:rsidR="00052350">
        <w:rPr>
          <w:rFonts w:cs="Arial"/>
          <w:b/>
          <w:bCs/>
          <w:szCs w:val="16"/>
        </w:rPr>
        <w:t>1</w:t>
      </w:r>
      <w:r w:rsidRPr="00F5157F">
        <w:rPr>
          <w:rFonts w:cs="Arial"/>
          <w:b/>
          <w:bCs/>
          <w:szCs w:val="16"/>
        </w:rPr>
        <w:t xml:space="preserve"> Riadiace orgány, mení sa bod č. </w:t>
      </w:r>
      <w:r w:rsidR="00052350">
        <w:rPr>
          <w:rFonts w:cs="Arial"/>
          <w:b/>
          <w:bCs/>
          <w:szCs w:val="16"/>
        </w:rPr>
        <w:t>4</w:t>
      </w:r>
      <w:r w:rsidRPr="00F5157F">
        <w:rPr>
          <w:rFonts w:cs="Arial"/>
          <w:b/>
          <w:bCs/>
          <w:szCs w:val="16"/>
        </w:rPr>
        <w:t xml:space="preserve"> nasledovne:</w:t>
      </w:r>
    </w:p>
    <w:p w14:paraId="6D137FC9" w14:textId="77777777" w:rsidR="00052350" w:rsidRPr="00052350" w:rsidRDefault="00F5157F" w:rsidP="00052350">
      <w:pPr>
        <w:spacing w:after="120"/>
        <w:ind w:left="357"/>
        <w:jc w:val="both"/>
        <w:rPr>
          <w:rFonts w:cs="Arial"/>
          <w:szCs w:val="16"/>
        </w:rPr>
      </w:pPr>
      <w:r>
        <w:rPr>
          <w:rFonts w:cs="Arial"/>
          <w:b/>
          <w:bCs/>
          <w:szCs w:val="16"/>
        </w:rPr>
        <w:br/>
      </w:r>
      <w:r w:rsidRPr="00F5157F">
        <w:rPr>
          <w:rFonts w:cs="Arial"/>
          <w:bCs/>
          <w:szCs w:val="16"/>
        </w:rPr>
        <w:t>„</w:t>
      </w:r>
      <w:r w:rsidR="00052350" w:rsidRPr="00052350">
        <w:rPr>
          <w:rFonts w:cs="Arial"/>
          <w:szCs w:val="16"/>
        </w:rPr>
        <w:t xml:space="preserve">vyhlásenie/zmenu výzvy poskytovateľom do 100 % alokácie pridelenej danému poskytovateľovi v rámci príslušného fondu/kategórie regiónu a priority; </w:t>
      </w:r>
    </w:p>
    <w:p w14:paraId="201A41A0" w14:textId="77777777" w:rsidR="00052350" w:rsidRPr="00052350" w:rsidRDefault="00052350" w:rsidP="00052350">
      <w:pPr>
        <w:spacing w:after="120"/>
        <w:ind w:left="357"/>
        <w:jc w:val="both"/>
        <w:rPr>
          <w:rFonts w:cs="Arial"/>
          <w:szCs w:val="16"/>
        </w:rPr>
      </w:pPr>
      <w:r w:rsidRPr="00052350">
        <w:rPr>
          <w:rFonts w:cs="Arial"/>
          <w:szCs w:val="16"/>
        </w:rPr>
        <w:t xml:space="preserve">vyhlásenie/zmena výzvy nad 100 % alokácie pridelenej danému poskytovateľovi v rámci príslušného fondu/kategórie regiónu a priority pred jej predložením riadiacemu orgánu na posúdenie podlieha predchádzajúcemu súhlasu ministra financií v súlade s § 13 ods. 4 zákona č. 121/2022 Z. z. o príspevkoch z fondov EÚ, a to z dôvodu zamedzenia dodatočných vplyvov na štátny rozpočet nad rámec schválených limitov výdavkov podľa zákona o štátnom rozpočte. </w:t>
      </w:r>
    </w:p>
    <w:p w14:paraId="2A54577D" w14:textId="77777777" w:rsidR="00052350" w:rsidRPr="00052350" w:rsidRDefault="00052350" w:rsidP="00052350">
      <w:pPr>
        <w:spacing w:after="120"/>
        <w:ind w:left="357"/>
        <w:jc w:val="both"/>
        <w:rPr>
          <w:rFonts w:cs="Arial"/>
          <w:szCs w:val="16"/>
        </w:rPr>
      </w:pPr>
      <w:r w:rsidRPr="00052350">
        <w:rPr>
          <w:rFonts w:cs="Arial"/>
          <w:szCs w:val="16"/>
        </w:rPr>
        <w:t>Poskytovateľ nesmie vstupovať do záväzkov, na plnenie ktorých nemá dostatok finančných prostriedkov a uvedené musí poskytovateľ dôsledne overiť, a to ešte pred vydaním rozhodnutia o schválení žiadosti o poskytnutie príspevku. V prípade, ak poskytovateľ v rámci finančnej kontroly pred vydaním rozhodnutia o schválení žiadosti o poskytnutie príspevku zistí, že príspevok je nad rámec alokácie pridelenej poskytovateľovi v rámci príslušného fondu/kategórie regiónu (ak relevantné) a priority, je povinný pred vydaním rozhodnutia o schválení žiadosti o poskytnutie príspevku požiadať ministra financií o</w:t>
      </w:r>
      <w:r>
        <w:rPr>
          <w:rFonts w:cs="Arial"/>
          <w:szCs w:val="16"/>
        </w:rPr>
        <w:t> </w:t>
      </w:r>
      <w:r w:rsidRPr="00052350">
        <w:rPr>
          <w:rFonts w:cs="Arial"/>
          <w:szCs w:val="16"/>
        </w:rPr>
        <w:t xml:space="preserve">osobitný súhlas k nadkontrahovaniu v súlade s § 13 ods. 4 zákona č. 121/2022 Z. z. o príspevkoch z fondov EÚ (pred schválením žiadosti o poskytnutie príspevku), ktorého súčasťou je identifikácia zdrojového krytia z dôvodu zamedzenia dodatočných vplyvov na štátny rozpočet nad rámec schválených limitov výdavkov podľa zákona o štátnom rozpočte, ako aj súhlas riadiaceho orgánu. </w:t>
      </w:r>
    </w:p>
    <w:p w14:paraId="00AD3161" w14:textId="77777777" w:rsidR="00052350" w:rsidRPr="00052350" w:rsidRDefault="00052350" w:rsidP="00052350">
      <w:pPr>
        <w:spacing w:after="120"/>
        <w:ind w:left="357"/>
        <w:jc w:val="both"/>
        <w:rPr>
          <w:rFonts w:cs="Arial"/>
          <w:szCs w:val="16"/>
        </w:rPr>
      </w:pPr>
      <w:r w:rsidRPr="00052350">
        <w:rPr>
          <w:rFonts w:cs="Arial"/>
          <w:szCs w:val="16"/>
        </w:rPr>
        <w:t>Uvedené znamená, že poskytovateľ:</w:t>
      </w:r>
    </w:p>
    <w:p w14:paraId="0F4BF6FC" w14:textId="77777777" w:rsidR="00052350" w:rsidRPr="00052350" w:rsidRDefault="00052350" w:rsidP="00052350">
      <w:pPr>
        <w:spacing w:after="120"/>
        <w:ind w:left="357"/>
        <w:jc w:val="both"/>
        <w:rPr>
          <w:rFonts w:cs="Arial"/>
          <w:szCs w:val="16"/>
        </w:rPr>
      </w:pPr>
      <w:r w:rsidRPr="00052350">
        <w:rPr>
          <w:rFonts w:cs="Arial"/>
          <w:szCs w:val="16"/>
        </w:rPr>
        <w:t>v prvej etape požiada o súhlas ministra financií k vyhláseniu/zmene výzvy nad 100 % alokácie pridelenej danému poskytovateľovi v rámci príslušného fondu/kategórie regiónu a priority pred jej predložením riadiacemu orgánu na</w:t>
      </w:r>
      <w:r>
        <w:rPr>
          <w:rFonts w:cs="Arial"/>
          <w:szCs w:val="16"/>
        </w:rPr>
        <w:t> </w:t>
      </w:r>
      <w:r w:rsidRPr="00052350">
        <w:rPr>
          <w:rFonts w:cs="Arial"/>
          <w:szCs w:val="16"/>
        </w:rPr>
        <w:t xml:space="preserve">posúdenie (platobný orgán už v tejto fáze môže požiadať o substanovisko riadiaci orgán) a </w:t>
      </w:r>
    </w:p>
    <w:p w14:paraId="704EE37B" w14:textId="77777777" w:rsidR="00F5157F" w:rsidRPr="00F5157F" w:rsidRDefault="00052350" w:rsidP="00052350">
      <w:pPr>
        <w:spacing w:after="120"/>
        <w:ind w:left="357"/>
        <w:jc w:val="both"/>
        <w:rPr>
          <w:rFonts w:cs="Arial"/>
          <w:szCs w:val="16"/>
        </w:rPr>
      </w:pPr>
      <w:r w:rsidRPr="00052350">
        <w:rPr>
          <w:rFonts w:cs="Arial"/>
          <w:szCs w:val="16"/>
        </w:rPr>
        <w:t>v druhej etape, na základe súhlasu riadiaceho orgánu, požiada ministra financií o osobitný súhlas k nadkontrahovaniu</w:t>
      </w:r>
      <w:r w:rsidR="00F5157F" w:rsidRPr="00F5157F">
        <w:rPr>
          <w:rFonts w:cs="Arial"/>
          <w:szCs w:val="16"/>
        </w:rPr>
        <w:t>“;</w:t>
      </w:r>
    </w:p>
    <w:p w14:paraId="1D79EB65" w14:textId="77777777" w:rsidR="00F5157F" w:rsidRPr="00F5157F" w:rsidRDefault="00F5157F" w:rsidP="00F5157F">
      <w:pPr>
        <w:ind w:left="360"/>
        <w:jc w:val="both"/>
        <w:rPr>
          <w:rFonts w:cs="Arial"/>
          <w:b/>
          <w:bCs/>
          <w:szCs w:val="16"/>
        </w:rPr>
      </w:pPr>
    </w:p>
    <w:p w14:paraId="69484DBE" w14:textId="77777777" w:rsidR="008854EE" w:rsidRDefault="008854EE" w:rsidP="00FD2BC0">
      <w:pPr>
        <w:numPr>
          <w:ilvl w:val="0"/>
          <w:numId w:val="2"/>
        </w:numPr>
        <w:jc w:val="both"/>
        <w:rPr>
          <w:rFonts w:cs="Arial"/>
          <w:b/>
          <w:bCs/>
          <w:szCs w:val="16"/>
        </w:rPr>
      </w:pPr>
      <w:r w:rsidRPr="008854EE">
        <w:rPr>
          <w:rFonts w:cs="Arial"/>
          <w:b/>
          <w:bCs/>
          <w:szCs w:val="16"/>
        </w:rPr>
        <w:t>Kapitola 3.</w:t>
      </w:r>
      <w:r w:rsidR="00052350">
        <w:rPr>
          <w:rFonts w:cs="Arial"/>
          <w:b/>
          <w:bCs/>
          <w:szCs w:val="16"/>
        </w:rPr>
        <w:t>1</w:t>
      </w:r>
      <w:r w:rsidRPr="008854EE">
        <w:rPr>
          <w:rFonts w:cs="Arial"/>
          <w:b/>
          <w:bCs/>
          <w:szCs w:val="16"/>
        </w:rPr>
        <w:t xml:space="preserve"> </w:t>
      </w:r>
      <w:r w:rsidRPr="007B4BC9">
        <w:rPr>
          <w:rFonts w:cs="Arial"/>
          <w:b/>
          <w:bCs/>
          <w:szCs w:val="16"/>
        </w:rPr>
        <w:t xml:space="preserve">Riadiace orgány, </w:t>
      </w:r>
      <w:r w:rsidR="00052350">
        <w:rPr>
          <w:rFonts w:cs="Arial"/>
          <w:b/>
          <w:bCs/>
          <w:szCs w:val="16"/>
        </w:rPr>
        <w:t xml:space="preserve">mení sa </w:t>
      </w:r>
      <w:r w:rsidRPr="007B4BC9">
        <w:rPr>
          <w:rFonts w:cs="Arial"/>
          <w:b/>
          <w:bCs/>
          <w:szCs w:val="16"/>
        </w:rPr>
        <w:t xml:space="preserve">bod č. </w:t>
      </w:r>
      <w:r w:rsidR="00052350">
        <w:rPr>
          <w:rFonts w:cs="Arial"/>
          <w:b/>
          <w:bCs/>
          <w:szCs w:val="16"/>
        </w:rPr>
        <w:t>10</w:t>
      </w:r>
      <w:r w:rsidRPr="007B4BC9">
        <w:rPr>
          <w:rFonts w:cs="Arial"/>
          <w:b/>
          <w:bCs/>
          <w:szCs w:val="16"/>
        </w:rPr>
        <w:t xml:space="preserve"> nasledovne:</w:t>
      </w:r>
    </w:p>
    <w:p w14:paraId="15DB59E0" w14:textId="77777777" w:rsidR="00052350" w:rsidRDefault="008854EE" w:rsidP="00052350">
      <w:pPr>
        <w:autoSpaceDE w:val="0"/>
        <w:autoSpaceDN w:val="0"/>
        <w:adjustRightInd w:val="0"/>
        <w:spacing w:before="120" w:after="120"/>
        <w:ind w:left="360"/>
        <w:jc w:val="both"/>
      </w:pPr>
      <w:r w:rsidRPr="007B4BC9">
        <w:t>„</w:t>
      </w:r>
      <w:r w:rsidR="00052350">
        <w:t xml:space="preserve">navrhovanie úpravy alokácie programu (vrátane uplatnenia automatického zrušenia finančného záväzku) a navrhovanie realokácie prostriedkov v rámci programu, ich predkladanie platobnému orgánu na posúdenie (vrátane návrhu úpravy podrobného finančného plánu programu ) a následne predloženie monitorovaciemu výboru na schválenie, ak je relevantné, resp. Európskej komisii. Návrhy úprav alokácie programu a realokácie prostriedkov v rámci programu predložené poskytovateľom na schválenie komisii pri monitorovacom výbore obsahujú okrem zdrojov EÚ aj indikatívnu výšku štátneho rozpočtu na spolufinancovanie vyčíslenú sumárne na úrovni fondu/kategórie regiónu/priority. </w:t>
      </w:r>
    </w:p>
    <w:p w14:paraId="1B13B6C7" w14:textId="77777777" w:rsidR="00052350" w:rsidRDefault="00052350" w:rsidP="00052350">
      <w:pPr>
        <w:autoSpaceDE w:val="0"/>
        <w:autoSpaceDN w:val="0"/>
        <w:adjustRightInd w:val="0"/>
        <w:spacing w:before="120" w:after="120"/>
        <w:ind w:left="360"/>
        <w:jc w:val="both"/>
      </w:pPr>
      <w:r>
        <w:t xml:space="preserve">V rámci procesu prípravy návrhu zmeny programu, ktorou dochádza aj k úprave jeho alokácie, resp. realokácii v rámci programu, je poskytovateľ povinný vykonať finančnú kontrolu, ktorou overí vplyv tejto zmeny na všetky existujúce finančné operácie (tzn. všetky uzavreté zmluvy o poskytnutí NFP a budúce záväzky) s cieľom, aby bolo zabezpečené rozpočtové a finančné krytie pre všetky už realizované ako aj plánované finančné operácie v súlade s § 6 ods. 4 zákona č. 357/2015 Z. z. o finančnej kontrole a audite a o zmene a doplnení niektorých zákonov. </w:t>
      </w:r>
    </w:p>
    <w:p w14:paraId="5E579FF2" w14:textId="77777777" w:rsidR="00052350" w:rsidRDefault="00052350" w:rsidP="00052350">
      <w:pPr>
        <w:autoSpaceDE w:val="0"/>
        <w:autoSpaceDN w:val="0"/>
        <w:adjustRightInd w:val="0"/>
        <w:spacing w:before="120" w:after="120"/>
        <w:ind w:left="360"/>
        <w:jc w:val="both"/>
      </w:pPr>
      <w:r>
        <w:t>Po predložení finálneho návrhu zmeny programu poskytovateľom riadiacemu orgánu, ktorou dochádza k úprave alokácie programu, resp. realokácii, je riadiaci orgán povinný vykonať finančnú kontrolu k navrhovanej zmene, ktorou overí vplyv tejto zmeny na finančný plán programu s cieľom neprekročenia 100 % alokácie programu schváleného vládou SR (za zdroje EÚ a k nim prislúchajúcu výšku zdroja štátneho rozpočtu na spolufinancovanie v zmysle platných pravidiel financovania definovaných Stratégiou financovania EFRR, ESF+, KF, FST a ENRAF na programové obdobie 2021 – 2027).</w:t>
      </w:r>
    </w:p>
    <w:p w14:paraId="629FF4D5" w14:textId="77777777" w:rsidR="008854EE" w:rsidRDefault="00052350" w:rsidP="00052350">
      <w:pPr>
        <w:autoSpaceDE w:val="0"/>
        <w:autoSpaceDN w:val="0"/>
        <w:adjustRightInd w:val="0"/>
        <w:spacing w:before="120" w:after="120"/>
        <w:ind w:left="360"/>
        <w:jc w:val="both"/>
        <w:rPr>
          <w:rFonts w:cs="Arial"/>
          <w:szCs w:val="16"/>
        </w:rPr>
      </w:pPr>
      <w:r>
        <w:t>Presuny prostriedkov v rámci programu, ktoré majú vplyv na štátny rozpočet (zvýšenie/zníženie) na úrovni riadiaceho orgánu/sprostredkovateľského orgánu s platobnou funkciou, vyžadujú súhlas platobného orgánu. V prípade zmien finančného plánu a alokácie s celkovým negatívnym vplyvom na štátny rozpočet na úrovni celého programu voči schválenému materiálu vo vláde SR, tieto zmeny si vyžadujú súhlas platobného orgánu a po odsúhlasení platobným orgánom je potrebné túto zmenu programu predložiť na rokovanie vlády SR</w:t>
      </w:r>
      <w:r w:rsidR="00C43950">
        <w:rPr>
          <w:rFonts w:cs="Arial"/>
          <w:szCs w:val="16"/>
        </w:rPr>
        <w:t>“;</w:t>
      </w:r>
    </w:p>
    <w:p w14:paraId="2D807B21" w14:textId="77777777" w:rsidR="00C963CF" w:rsidRPr="00EB5886" w:rsidRDefault="00EA4CDE" w:rsidP="00C963CF">
      <w:pPr>
        <w:numPr>
          <w:ilvl w:val="0"/>
          <w:numId w:val="2"/>
        </w:numPr>
        <w:autoSpaceDE w:val="0"/>
        <w:autoSpaceDN w:val="0"/>
        <w:adjustRightInd w:val="0"/>
        <w:spacing w:before="120" w:after="120"/>
        <w:jc w:val="both"/>
        <w:rPr>
          <w:rFonts w:cs="Arial"/>
          <w:b/>
          <w:szCs w:val="16"/>
        </w:rPr>
      </w:pPr>
      <w:r w:rsidRPr="008854EE">
        <w:rPr>
          <w:rFonts w:cs="Arial"/>
          <w:b/>
          <w:bCs/>
          <w:szCs w:val="16"/>
        </w:rPr>
        <w:t>Kapitola 3.</w:t>
      </w:r>
      <w:r>
        <w:rPr>
          <w:rFonts w:cs="Arial"/>
          <w:b/>
          <w:bCs/>
          <w:szCs w:val="16"/>
        </w:rPr>
        <w:t>1</w:t>
      </w:r>
      <w:r w:rsidRPr="008854EE">
        <w:rPr>
          <w:rFonts w:cs="Arial"/>
          <w:b/>
          <w:bCs/>
          <w:szCs w:val="16"/>
        </w:rPr>
        <w:t xml:space="preserve"> </w:t>
      </w:r>
      <w:r w:rsidRPr="007B4BC9">
        <w:rPr>
          <w:rFonts w:cs="Arial"/>
          <w:b/>
          <w:bCs/>
          <w:szCs w:val="16"/>
        </w:rPr>
        <w:t xml:space="preserve">Riadiace orgány, </w:t>
      </w:r>
      <w:r>
        <w:rPr>
          <w:rFonts w:cs="Arial"/>
          <w:b/>
          <w:bCs/>
          <w:szCs w:val="16"/>
        </w:rPr>
        <w:t xml:space="preserve">mení sa </w:t>
      </w:r>
      <w:r w:rsidRPr="007B4BC9">
        <w:rPr>
          <w:rFonts w:cs="Arial"/>
          <w:b/>
          <w:bCs/>
          <w:szCs w:val="16"/>
        </w:rPr>
        <w:t xml:space="preserve">bod č. </w:t>
      </w:r>
      <w:r>
        <w:rPr>
          <w:rFonts w:cs="Arial"/>
          <w:b/>
          <w:bCs/>
          <w:szCs w:val="16"/>
        </w:rPr>
        <w:t>12</w:t>
      </w:r>
      <w:r w:rsidRPr="007B4BC9">
        <w:rPr>
          <w:rFonts w:cs="Arial"/>
          <w:b/>
          <w:bCs/>
          <w:szCs w:val="16"/>
        </w:rPr>
        <w:t xml:space="preserve"> nasledovne</w:t>
      </w:r>
      <w:r w:rsidR="00C963CF" w:rsidRPr="00EB5886">
        <w:rPr>
          <w:rFonts w:cs="Arial"/>
          <w:b/>
          <w:szCs w:val="16"/>
        </w:rPr>
        <w:t>:</w:t>
      </w:r>
    </w:p>
    <w:p w14:paraId="35005C1C" w14:textId="77777777" w:rsidR="00EA4CDE" w:rsidRPr="008A3A79" w:rsidRDefault="006A503B" w:rsidP="00EA4CDE">
      <w:pPr>
        <w:widowControl w:val="0"/>
        <w:autoSpaceDE w:val="0"/>
        <w:autoSpaceDN w:val="0"/>
        <w:adjustRightInd w:val="0"/>
        <w:spacing w:before="120"/>
        <w:ind w:left="426"/>
        <w:jc w:val="both"/>
        <w:rPr>
          <w:rFonts w:cs="Arial"/>
          <w:szCs w:val="16"/>
        </w:rPr>
      </w:pPr>
      <w:r>
        <w:rPr>
          <w:rFonts w:cs="Arial"/>
          <w:szCs w:val="16"/>
        </w:rPr>
        <w:t>„</w:t>
      </w:r>
      <w:r w:rsidR="00EA4CDE" w:rsidRPr="008A3A79">
        <w:rPr>
          <w:rFonts w:cs="Arial"/>
          <w:szCs w:val="16"/>
        </w:rPr>
        <w:t>pre potreby overenia súhrnnej žiadosti o platbu a potvrdenia úplnosti, presnosti a pravdivosti žiadosti o platbu na EK a Účtov:</w:t>
      </w:r>
    </w:p>
    <w:p w14:paraId="69DA5DB5" w14:textId="77777777" w:rsidR="00EA4CDE" w:rsidRPr="008A3A79" w:rsidRDefault="00EA4CDE" w:rsidP="00EA4CDE">
      <w:pPr>
        <w:pStyle w:val="Odsekzoznamu"/>
        <w:widowControl w:val="0"/>
        <w:numPr>
          <w:ilvl w:val="0"/>
          <w:numId w:val="20"/>
        </w:numPr>
        <w:autoSpaceDE w:val="0"/>
        <w:autoSpaceDN w:val="0"/>
        <w:adjustRightInd w:val="0"/>
        <w:ind w:left="426" w:firstLine="0"/>
        <w:jc w:val="both"/>
        <w:rPr>
          <w:rFonts w:cs="Arial"/>
          <w:szCs w:val="16"/>
        </w:rPr>
      </w:pPr>
      <w:r w:rsidRPr="008A3A79">
        <w:rPr>
          <w:rFonts w:cs="Arial"/>
          <w:szCs w:val="16"/>
        </w:rPr>
        <w:t>vkladanie do ITMS všetkých výstupov z kontrol</w:t>
      </w:r>
      <w:r w:rsidRPr="008A3A79">
        <w:t xml:space="preserve"> riadiaceho orgánu</w:t>
      </w:r>
      <w:r w:rsidRPr="008A3A79">
        <w:rPr>
          <w:rFonts w:cs="Arial"/>
          <w:szCs w:val="16"/>
        </w:rPr>
        <w:t xml:space="preserve"> a ďalších relevantných dokladov požadovaných na audítorský záznam podľa čl. 69 ods. 6 nariadenia Európskeho parlamentu a Rady (EÚ) 2021/1060, najmä správy/čiastkové správy z kontroly žiadostí o </w:t>
      </w:r>
      <w:r w:rsidRPr="00EA4CDE">
        <w:rPr>
          <w:rFonts w:cs="Arial"/>
          <w:szCs w:val="16"/>
        </w:rPr>
        <w:t>platbu (ak relevantné)</w:t>
      </w:r>
      <w:r>
        <w:rPr>
          <w:rFonts w:cs="Arial"/>
          <w:szCs w:val="16"/>
        </w:rPr>
        <w:t xml:space="preserve"> </w:t>
      </w:r>
      <w:r w:rsidRPr="008A3A79">
        <w:rPr>
          <w:rFonts w:cs="Arial"/>
          <w:szCs w:val="16"/>
        </w:rPr>
        <w:t>zaradených do súhrnnej žiadosti o platbu, individuálny model analýzy rizík ŽoP a verejného obstarávania, podklady k vzájomnému započítaniu záväzkov; v špecifických situáciách ako je napríklad uplatnenie extrapolovanej finančnej opravy/paušálnej sadzby, podklady k uplatneným plošným finančným opravám, pri pozastavení/prerušení a následnom odblokovaní platieb zo strany EK a podobne, si môže platobný orgán vyžiadať aj ďalšie potrebné dokumenty;</w:t>
      </w:r>
    </w:p>
    <w:p w14:paraId="7949EA27" w14:textId="77777777" w:rsidR="006A503B" w:rsidRPr="004C63EF" w:rsidRDefault="00EA4CDE" w:rsidP="00EA4CDE">
      <w:pPr>
        <w:numPr>
          <w:ilvl w:val="0"/>
          <w:numId w:val="20"/>
        </w:numPr>
        <w:autoSpaceDE w:val="0"/>
        <w:autoSpaceDN w:val="0"/>
        <w:adjustRightInd w:val="0"/>
        <w:spacing w:before="120" w:after="120"/>
        <w:ind w:left="426" w:firstLine="0"/>
        <w:jc w:val="both"/>
        <w:rPr>
          <w:rFonts w:cs="Arial"/>
          <w:szCs w:val="16"/>
        </w:rPr>
      </w:pPr>
      <w:r w:rsidRPr="008A3A79">
        <w:rPr>
          <w:rFonts w:cs="Arial"/>
          <w:szCs w:val="16"/>
        </w:rPr>
        <w:t>poskytnutie prílohy</w:t>
      </w:r>
      <w:r w:rsidR="00E148B4">
        <w:rPr>
          <w:rFonts w:cs="Arial"/>
          <w:szCs w:val="16"/>
        </w:rPr>
        <w:t xml:space="preserve"> 4</w:t>
      </w:r>
      <w:r w:rsidR="00E148B4" w:rsidRPr="00E148B4">
        <w:rPr>
          <w:rFonts w:cs="Arial"/>
          <w:szCs w:val="16"/>
          <w:vertAlign w:val="superscript"/>
        </w:rPr>
        <w:t>5</w:t>
      </w:r>
      <w:r w:rsidRPr="008A3A79">
        <w:rPr>
          <w:rFonts w:cs="Arial"/>
          <w:szCs w:val="16"/>
        </w:rPr>
        <w:t xml:space="preserve"> platobnému orgánu pri príprave žiadosti o platbu na Európsku komisiu a Účtov. Príloha 4 sa nepredkladá v prípade, ak k výdavkom zaradeným v žiadosti o platbu na Európsku komisiu a Účtoch sa neviaže žiaden sledovaný príznak, a k uvedenému postačuje vyhlásenie riadiaceho orgánu (napr. vyjadrenie pri žiadosti o platbu na Európsku komisiu/Účtoch v zaslaných podkladoch)</w:t>
      </w:r>
      <w:r w:rsidR="006A503B">
        <w:rPr>
          <w:rFonts w:cs="Arial"/>
          <w:szCs w:val="16"/>
        </w:rPr>
        <w:t>“</w:t>
      </w:r>
      <w:r w:rsidR="006A503B" w:rsidRPr="006A503B">
        <w:rPr>
          <w:rFonts w:cs="Arial"/>
          <w:szCs w:val="16"/>
        </w:rPr>
        <w:t>;</w:t>
      </w:r>
    </w:p>
    <w:p w14:paraId="23A8CE9C" w14:textId="77777777" w:rsidR="008854EE" w:rsidRDefault="007B614D" w:rsidP="00FD2BC0">
      <w:pPr>
        <w:numPr>
          <w:ilvl w:val="0"/>
          <w:numId w:val="2"/>
        </w:numPr>
        <w:jc w:val="both"/>
        <w:rPr>
          <w:rFonts w:cs="Arial"/>
          <w:b/>
          <w:bCs/>
          <w:szCs w:val="16"/>
        </w:rPr>
      </w:pPr>
      <w:r w:rsidRPr="008854EE">
        <w:rPr>
          <w:rFonts w:cs="Arial"/>
          <w:b/>
          <w:bCs/>
          <w:szCs w:val="16"/>
        </w:rPr>
        <w:t>Kapitola 3.</w:t>
      </w:r>
      <w:r>
        <w:rPr>
          <w:rFonts w:cs="Arial"/>
          <w:b/>
          <w:bCs/>
          <w:szCs w:val="16"/>
        </w:rPr>
        <w:t>1</w:t>
      </w:r>
      <w:r w:rsidRPr="008854EE">
        <w:rPr>
          <w:rFonts w:cs="Arial"/>
          <w:b/>
          <w:bCs/>
          <w:szCs w:val="16"/>
        </w:rPr>
        <w:t xml:space="preserve"> </w:t>
      </w:r>
      <w:r w:rsidRPr="007B4BC9">
        <w:rPr>
          <w:rFonts w:cs="Arial"/>
          <w:b/>
          <w:bCs/>
          <w:szCs w:val="16"/>
        </w:rPr>
        <w:t xml:space="preserve">Riadiace orgány, </w:t>
      </w:r>
      <w:r>
        <w:rPr>
          <w:rFonts w:cs="Arial"/>
          <w:b/>
          <w:bCs/>
          <w:szCs w:val="16"/>
        </w:rPr>
        <w:t xml:space="preserve">mení sa </w:t>
      </w:r>
      <w:r w:rsidRPr="007B4BC9">
        <w:rPr>
          <w:rFonts w:cs="Arial"/>
          <w:b/>
          <w:bCs/>
          <w:szCs w:val="16"/>
        </w:rPr>
        <w:t xml:space="preserve">bod č. </w:t>
      </w:r>
      <w:r>
        <w:rPr>
          <w:rFonts w:cs="Arial"/>
          <w:b/>
          <w:bCs/>
          <w:szCs w:val="16"/>
        </w:rPr>
        <w:t>27</w:t>
      </w:r>
      <w:r w:rsidRPr="007B4BC9">
        <w:rPr>
          <w:rFonts w:cs="Arial"/>
          <w:b/>
          <w:bCs/>
          <w:szCs w:val="16"/>
        </w:rPr>
        <w:t xml:space="preserve"> nasledovne</w:t>
      </w:r>
      <w:r w:rsidR="008854EE" w:rsidRPr="008854EE">
        <w:rPr>
          <w:rFonts w:cs="Arial"/>
          <w:b/>
          <w:bCs/>
          <w:szCs w:val="16"/>
        </w:rPr>
        <w:t>:</w:t>
      </w:r>
    </w:p>
    <w:p w14:paraId="1E0AF4A4" w14:textId="77777777" w:rsidR="008854EE" w:rsidRPr="004C63EF" w:rsidRDefault="008854EE" w:rsidP="00FD2BC0">
      <w:pPr>
        <w:widowControl w:val="0"/>
        <w:autoSpaceDE w:val="0"/>
        <w:autoSpaceDN w:val="0"/>
        <w:adjustRightInd w:val="0"/>
        <w:spacing w:before="120"/>
        <w:ind w:left="360"/>
        <w:jc w:val="both"/>
        <w:rPr>
          <w:rFonts w:cs="Arial"/>
          <w:szCs w:val="16"/>
        </w:rPr>
      </w:pPr>
      <w:r w:rsidRPr="007B4BC9">
        <w:rPr>
          <w:rFonts w:cs="Arial"/>
          <w:szCs w:val="16"/>
        </w:rPr>
        <w:lastRenderedPageBreak/>
        <w:t>„</w:t>
      </w:r>
      <w:r w:rsidR="007B614D" w:rsidRPr="007B614D">
        <w:rPr>
          <w:rFonts w:cs="Arial"/>
          <w:szCs w:val="16"/>
        </w:rPr>
        <w:t>vedenie účtovníctva o stave a pohybe pohľadávok z príspevku a pohľadávok z rozhodnutí, kde správcom pohľadávky je riadiaci orgán alebo z rozhodnutí, týkajúcich sa prostriedkov štátneho rozpočtu SR alebo prostriedkov EÚ neschválených platobným orgánom, záväzkov a peňažných prostriedkov spojených s poskytovaním prostriedkov EÚ a štátneho rozpočtu na spolufinancovanie vrátane vyhotovovania a predkladania údajov účtovnej závierky a vyhotovovania podkladov pre</w:t>
      </w:r>
      <w:r w:rsidR="007B614D">
        <w:rPr>
          <w:rFonts w:cs="Arial"/>
          <w:szCs w:val="16"/>
        </w:rPr>
        <w:t> </w:t>
      </w:r>
      <w:r w:rsidR="007B614D" w:rsidRPr="007B614D">
        <w:rPr>
          <w:rFonts w:cs="Arial"/>
          <w:szCs w:val="16"/>
        </w:rPr>
        <w:t>konsolidovanú účtovnú závierku ústrednej správy za riadiaci orgán</w:t>
      </w:r>
      <w:r w:rsidR="00C43950">
        <w:rPr>
          <w:rFonts w:cs="Arial"/>
          <w:szCs w:val="16"/>
        </w:rPr>
        <w:t>“;</w:t>
      </w:r>
    </w:p>
    <w:p w14:paraId="2557F35F" w14:textId="77777777" w:rsidR="00DC3C4C" w:rsidRPr="00DC3C4C" w:rsidRDefault="006A503B" w:rsidP="00EB5886">
      <w:pPr>
        <w:widowControl w:val="0"/>
        <w:numPr>
          <w:ilvl w:val="0"/>
          <w:numId w:val="2"/>
        </w:numPr>
        <w:autoSpaceDE w:val="0"/>
        <w:autoSpaceDN w:val="0"/>
        <w:adjustRightInd w:val="0"/>
        <w:spacing w:before="120"/>
        <w:jc w:val="both"/>
        <w:rPr>
          <w:rFonts w:cs="Arial"/>
          <w:b/>
          <w:szCs w:val="16"/>
        </w:rPr>
      </w:pPr>
      <w:r w:rsidRPr="00EB5886">
        <w:rPr>
          <w:rFonts w:cs="Arial"/>
          <w:b/>
          <w:szCs w:val="16"/>
        </w:rPr>
        <w:t>Kapitola 3.</w:t>
      </w:r>
      <w:r w:rsidR="00E001B5">
        <w:rPr>
          <w:rFonts w:cs="Arial"/>
          <w:b/>
          <w:szCs w:val="16"/>
        </w:rPr>
        <w:t>4</w:t>
      </w:r>
      <w:r w:rsidRPr="00EB5886">
        <w:rPr>
          <w:rFonts w:cs="Arial"/>
          <w:b/>
          <w:szCs w:val="16"/>
        </w:rPr>
        <w:t xml:space="preserve">.1 </w:t>
      </w:r>
      <w:r w:rsidR="00C43679" w:rsidRPr="00C43679">
        <w:rPr>
          <w:rFonts w:cs="Arial"/>
          <w:b/>
          <w:szCs w:val="16"/>
        </w:rPr>
        <w:t>Ministerstvo financií SR ako správny orgán I. stupňa</w:t>
      </w:r>
      <w:r w:rsidR="00DC3C4C" w:rsidRPr="00EB5886">
        <w:rPr>
          <w:rFonts w:cs="Arial"/>
          <w:b/>
          <w:szCs w:val="16"/>
        </w:rPr>
        <w:t xml:space="preserve">, mení sa </w:t>
      </w:r>
      <w:r w:rsidR="00C43679">
        <w:rPr>
          <w:rFonts w:cs="Arial"/>
          <w:b/>
          <w:szCs w:val="16"/>
        </w:rPr>
        <w:t>prvý odsek</w:t>
      </w:r>
      <w:r w:rsidR="00DC3C4C" w:rsidRPr="00EB5886">
        <w:rPr>
          <w:rFonts w:cs="Arial"/>
          <w:b/>
          <w:szCs w:val="16"/>
        </w:rPr>
        <w:t xml:space="preserve"> nasledovne:</w:t>
      </w:r>
    </w:p>
    <w:p w14:paraId="3A205B67" w14:textId="77777777" w:rsidR="00DC3C4C" w:rsidRPr="00DC3C4C" w:rsidRDefault="00DC3C4C" w:rsidP="00EB5886">
      <w:pPr>
        <w:widowControl w:val="0"/>
        <w:autoSpaceDE w:val="0"/>
        <w:autoSpaceDN w:val="0"/>
        <w:adjustRightInd w:val="0"/>
        <w:spacing w:before="120"/>
        <w:ind w:left="360"/>
        <w:jc w:val="both"/>
        <w:rPr>
          <w:rFonts w:cs="Arial"/>
          <w:szCs w:val="16"/>
        </w:rPr>
      </w:pPr>
      <w:r w:rsidRPr="00EB5886">
        <w:rPr>
          <w:rFonts w:cs="Arial"/>
          <w:szCs w:val="16"/>
        </w:rPr>
        <w:t>„</w:t>
      </w:r>
      <w:r w:rsidR="00C43679" w:rsidRPr="00C43679">
        <w:rPr>
          <w:rFonts w:cs="Arial"/>
          <w:szCs w:val="16"/>
        </w:rPr>
        <w:t>Odbor prvostupňových správnych konaní Ministerstva financií SR, ktorý je v priamej riadiacej pôsobnosti generálneho tajomníka služobného úradu Ministerstva financií SR, plní vo vzťahu k vydaným rozhodnutiam v správnom konaní podľa zákona č. 71/1967 Zb. o správnom konaní najmä nasledovné úlohy</w:t>
      </w:r>
      <w:r w:rsidR="00C43679">
        <w:rPr>
          <w:rFonts w:cs="Arial"/>
          <w:szCs w:val="16"/>
        </w:rPr>
        <w:t>:</w:t>
      </w:r>
      <w:r w:rsidRPr="00EB5886">
        <w:rPr>
          <w:rFonts w:cs="Arial"/>
          <w:szCs w:val="16"/>
        </w:rPr>
        <w:t>“;</w:t>
      </w:r>
    </w:p>
    <w:p w14:paraId="065F5ABC" w14:textId="77777777" w:rsidR="00DC3C4C" w:rsidRPr="00DC3C4C" w:rsidRDefault="00DC3C4C" w:rsidP="00DC3C4C">
      <w:pPr>
        <w:widowControl w:val="0"/>
        <w:numPr>
          <w:ilvl w:val="0"/>
          <w:numId w:val="2"/>
        </w:numPr>
        <w:autoSpaceDE w:val="0"/>
        <w:autoSpaceDN w:val="0"/>
        <w:adjustRightInd w:val="0"/>
        <w:spacing w:before="120"/>
        <w:jc w:val="both"/>
        <w:rPr>
          <w:rFonts w:cs="Arial"/>
          <w:b/>
          <w:szCs w:val="16"/>
        </w:rPr>
      </w:pPr>
      <w:r w:rsidRPr="005C5CF6">
        <w:rPr>
          <w:rFonts w:cs="Arial"/>
          <w:b/>
          <w:szCs w:val="16"/>
        </w:rPr>
        <w:t>Kapitola 3.</w:t>
      </w:r>
      <w:r w:rsidR="00C43679">
        <w:rPr>
          <w:rFonts w:cs="Arial"/>
          <w:b/>
          <w:szCs w:val="16"/>
        </w:rPr>
        <w:t>4</w:t>
      </w:r>
      <w:r w:rsidRPr="005C5CF6">
        <w:rPr>
          <w:rFonts w:cs="Arial"/>
          <w:b/>
          <w:szCs w:val="16"/>
        </w:rPr>
        <w:t>.</w:t>
      </w:r>
      <w:r w:rsidR="00C43679">
        <w:rPr>
          <w:rFonts w:cs="Arial"/>
          <w:b/>
          <w:szCs w:val="16"/>
        </w:rPr>
        <w:t>2</w:t>
      </w:r>
      <w:r w:rsidRPr="005C5CF6">
        <w:rPr>
          <w:rFonts w:cs="Arial"/>
          <w:b/>
          <w:szCs w:val="16"/>
        </w:rPr>
        <w:t xml:space="preserve"> </w:t>
      </w:r>
      <w:r w:rsidR="00C43679" w:rsidRPr="00C43679">
        <w:rPr>
          <w:rFonts w:cs="Arial"/>
          <w:b/>
          <w:szCs w:val="16"/>
        </w:rPr>
        <w:t>Ministerstvo financií SR ako správny orgán I</w:t>
      </w:r>
      <w:r w:rsidR="00C43679">
        <w:rPr>
          <w:rFonts w:cs="Arial"/>
          <w:b/>
          <w:szCs w:val="16"/>
        </w:rPr>
        <w:t>I</w:t>
      </w:r>
      <w:r w:rsidR="00C43679" w:rsidRPr="00C43679">
        <w:rPr>
          <w:rFonts w:cs="Arial"/>
          <w:b/>
          <w:szCs w:val="16"/>
        </w:rPr>
        <w:t>. stupňa</w:t>
      </w:r>
      <w:r w:rsidR="00EC407A">
        <w:rPr>
          <w:rFonts w:cs="Arial"/>
          <w:b/>
          <w:szCs w:val="16"/>
        </w:rPr>
        <w:t>, mení</w:t>
      </w:r>
      <w:r w:rsidR="00A11753">
        <w:rPr>
          <w:rFonts w:cs="Arial"/>
          <w:b/>
          <w:szCs w:val="16"/>
        </w:rPr>
        <w:t xml:space="preserve"> sa </w:t>
      </w:r>
      <w:r w:rsidRPr="005C5CF6">
        <w:rPr>
          <w:rFonts w:cs="Arial"/>
          <w:b/>
          <w:szCs w:val="16"/>
        </w:rPr>
        <w:t>nasledovne:</w:t>
      </w:r>
    </w:p>
    <w:p w14:paraId="13288962" w14:textId="77777777" w:rsidR="00C43679" w:rsidRPr="00C43679" w:rsidRDefault="00DC3C4C" w:rsidP="00C43679">
      <w:pPr>
        <w:widowControl w:val="0"/>
        <w:autoSpaceDE w:val="0"/>
        <w:autoSpaceDN w:val="0"/>
        <w:adjustRightInd w:val="0"/>
        <w:spacing w:before="120"/>
        <w:ind w:left="360"/>
        <w:jc w:val="both"/>
        <w:rPr>
          <w:rFonts w:cs="Arial"/>
          <w:szCs w:val="16"/>
        </w:rPr>
      </w:pPr>
      <w:r>
        <w:rPr>
          <w:rFonts w:cs="Arial"/>
          <w:szCs w:val="16"/>
        </w:rPr>
        <w:t>„</w:t>
      </w:r>
      <w:r w:rsidR="00C43679" w:rsidRPr="00C43679">
        <w:rPr>
          <w:rFonts w:cs="Arial"/>
          <w:szCs w:val="16"/>
        </w:rPr>
        <w:t>Ministerstvo financií SR je odvolacím a preskúmavacím orgánom v správnom konaní voči prvostupňovým rozhodnutiam Odboru prvostupňových správnych konaní Ministerstva financií SR vydaných v nadväznosti na porušenie finančnej disciplíny, ktoré bolo zistené na základe vykonaných kontrol a auditov zameraných na hospodárenie s prostriedkami štátneho rozpočtu a s prostriedkami EÚ.</w:t>
      </w:r>
    </w:p>
    <w:p w14:paraId="152B3917" w14:textId="77777777" w:rsidR="00C43679" w:rsidRPr="00C43679" w:rsidRDefault="00C43679" w:rsidP="00C43679">
      <w:pPr>
        <w:widowControl w:val="0"/>
        <w:autoSpaceDE w:val="0"/>
        <w:autoSpaceDN w:val="0"/>
        <w:adjustRightInd w:val="0"/>
        <w:spacing w:before="120"/>
        <w:ind w:left="360"/>
        <w:jc w:val="both"/>
        <w:rPr>
          <w:rFonts w:cs="Arial"/>
          <w:szCs w:val="16"/>
        </w:rPr>
      </w:pPr>
      <w:r w:rsidRPr="00C43679">
        <w:rPr>
          <w:rFonts w:cs="Arial"/>
          <w:szCs w:val="16"/>
        </w:rPr>
        <w:t xml:space="preserve">Ministerstvo financií SR zasiela vydané rozhodnutie v správnom konaní II. stupňa Odboru prvostupňových správnych konaní Ministerstva financií SR, ktorý najneskôr do 10 pracovných dní odo dňa doručenia právoplatného II. stupňového rozhodnutia aktualizuje správu o zistenej nezrovnalosti a kópiu právoplatného II. stupňového rozhodnutia archivuje v ITMS. </w:t>
      </w:r>
    </w:p>
    <w:p w14:paraId="3639DB95" w14:textId="77777777" w:rsidR="00C43679" w:rsidRPr="00C43679" w:rsidRDefault="00C43679" w:rsidP="00C43679">
      <w:pPr>
        <w:widowControl w:val="0"/>
        <w:autoSpaceDE w:val="0"/>
        <w:autoSpaceDN w:val="0"/>
        <w:adjustRightInd w:val="0"/>
        <w:spacing w:before="120"/>
        <w:ind w:left="360"/>
        <w:jc w:val="both"/>
        <w:rPr>
          <w:rFonts w:cs="Arial"/>
          <w:szCs w:val="16"/>
        </w:rPr>
      </w:pPr>
      <w:r w:rsidRPr="00C43679">
        <w:rPr>
          <w:rFonts w:cs="Arial"/>
          <w:szCs w:val="16"/>
        </w:rPr>
        <w:t>V súvislosti s aktualizáciou údajov o zistených nezrovnalostiach, vrátane finančnej identifikácie a v nadväznosti na údaje o</w:t>
      </w:r>
      <w:r>
        <w:rPr>
          <w:rFonts w:cs="Arial"/>
          <w:szCs w:val="16"/>
        </w:rPr>
        <w:t> </w:t>
      </w:r>
      <w:r w:rsidRPr="00C43679">
        <w:rPr>
          <w:rFonts w:cs="Arial"/>
          <w:szCs w:val="16"/>
        </w:rPr>
        <w:t>splatných pohľadávkach prijímateľov, správny orgán I. stupňa (Odbor prvostupňových správnych konaní Ministerstva financií SR) vydávajúci rozhodnutie o porušení finančnej disciplíny aktualizuje v určenej lehote údaje v ITMS na základe právoplatného rozhodnutia v správnom konaní II. stupňa.</w:t>
      </w:r>
    </w:p>
    <w:p w14:paraId="64A9ADC1" w14:textId="77777777" w:rsidR="008854EE" w:rsidRDefault="00C43679" w:rsidP="00C43679">
      <w:pPr>
        <w:widowControl w:val="0"/>
        <w:autoSpaceDE w:val="0"/>
        <w:autoSpaceDN w:val="0"/>
        <w:adjustRightInd w:val="0"/>
        <w:spacing w:before="120"/>
        <w:ind w:left="360"/>
        <w:jc w:val="both"/>
        <w:rPr>
          <w:rFonts w:cs="Arial"/>
          <w:szCs w:val="16"/>
        </w:rPr>
      </w:pPr>
      <w:r w:rsidRPr="00C43679">
        <w:rPr>
          <w:rFonts w:cs="Arial"/>
          <w:szCs w:val="16"/>
        </w:rPr>
        <w:t>Podrobné postupy pre administráciu nezrovnalostí a súvisiace oblasti sú upravené v usmernení MF SR č. 1/2024-U k</w:t>
      </w:r>
      <w:r>
        <w:rPr>
          <w:rFonts w:cs="Arial"/>
          <w:szCs w:val="16"/>
        </w:rPr>
        <w:t> </w:t>
      </w:r>
      <w:r w:rsidRPr="00C43679">
        <w:rPr>
          <w:rFonts w:cs="Arial"/>
          <w:szCs w:val="16"/>
        </w:rPr>
        <w:t>nezrovnalostiam a finančným opravám v rámci finančného riadenia fondov EÚ na programové obdobie 2021 – 2027 a Manuáli k evidencii nezrovnalostí, pohľadávkových dokladov a vysporiadaní v systéme ITMS v programovom období 2021 – 2027.</w:t>
      </w:r>
      <w:r w:rsidR="00EC407A">
        <w:rPr>
          <w:rFonts w:cs="Arial"/>
          <w:szCs w:val="16"/>
        </w:rPr>
        <w:t>“;</w:t>
      </w:r>
    </w:p>
    <w:p w14:paraId="5C7BC204" w14:textId="77777777" w:rsidR="00A11753" w:rsidRPr="00DC3C4C" w:rsidRDefault="00A11753" w:rsidP="00A11753">
      <w:pPr>
        <w:widowControl w:val="0"/>
        <w:numPr>
          <w:ilvl w:val="0"/>
          <w:numId w:val="2"/>
        </w:numPr>
        <w:autoSpaceDE w:val="0"/>
        <w:autoSpaceDN w:val="0"/>
        <w:adjustRightInd w:val="0"/>
        <w:spacing w:before="120"/>
        <w:jc w:val="both"/>
        <w:rPr>
          <w:rFonts w:cs="Arial"/>
          <w:b/>
          <w:szCs w:val="16"/>
        </w:rPr>
      </w:pPr>
      <w:r w:rsidRPr="005C5CF6">
        <w:rPr>
          <w:rFonts w:cs="Arial"/>
          <w:b/>
          <w:szCs w:val="16"/>
        </w:rPr>
        <w:t>Kapitola</w:t>
      </w:r>
      <w:r>
        <w:rPr>
          <w:rFonts w:cs="Arial"/>
          <w:b/>
          <w:szCs w:val="16"/>
        </w:rPr>
        <w:t xml:space="preserve"> </w:t>
      </w:r>
      <w:r w:rsidR="00C43679">
        <w:rPr>
          <w:rFonts w:cs="Arial"/>
          <w:b/>
          <w:szCs w:val="16"/>
        </w:rPr>
        <w:t>4.2.3</w:t>
      </w:r>
      <w:r w:rsidRPr="005C5CF6">
        <w:rPr>
          <w:rFonts w:cs="Arial"/>
          <w:b/>
          <w:szCs w:val="16"/>
        </w:rPr>
        <w:t xml:space="preserve"> </w:t>
      </w:r>
      <w:r w:rsidR="00C43679">
        <w:rPr>
          <w:rFonts w:cs="Arial"/>
          <w:b/>
          <w:szCs w:val="16"/>
        </w:rPr>
        <w:t>Účty</w:t>
      </w:r>
      <w:r w:rsidR="005E52A3">
        <w:rPr>
          <w:rFonts w:cs="Arial"/>
          <w:b/>
          <w:szCs w:val="16"/>
        </w:rPr>
        <w:t>, mení</w:t>
      </w:r>
      <w:r>
        <w:rPr>
          <w:rFonts w:cs="Arial"/>
          <w:b/>
          <w:szCs w:val="16"/>
        </w:rPr>
        <w:t xml:space="preserve"> sa odsek č. </w:t>
      </w:r>
      <w:r w:rsidR="00C43679">
        <w:rPr>
          <w:rFonts w:cs="Arial"/>
          <w:b/>
          <w:szCs w:val="16"/>
        </w:rPr>
        <w:t>6</w:t>
      </w:r>
      <w:r w:rsidRPr="005C5CF6">
        <w:rPr>
          <w:rFonts w:cs="Arial"/>
          <w:b/>
          <w:szCs w:val="16"/>
        </w:rPr>
        <w:t>. nasledovne:</w:t>
      </w:r>
    </w:p>
    <w:p w14:paraId="12CF0BCB" w14:textId="77777777" w:rsidR="00A11753" w:rsidRDefault="00A11753" w:rsidP="00EB5886">
      <w:pPr>
        <w:widowControl w:val="0"/>
        <w:autoSpaceDE w:val="0"/>
        <w:autoSpaceDN w:val="0"/>
        <w:adjustRightInd w:val="0"/>
        <w:spacing w:before="120"/>
        <w:ind w:left="360"/>
        <w:jc w:val="both"/>
        <w:rPr>
          <w:rFonts w:cs="Arial"/>
          <w:szCs w:val="16"/>
        </w:rPr>
      </w:pPr>
      <w:r>
        <w:rPr>
          <w:rFonts w:cs="Arial"/>
          <w:szCs w:val="16"/>
        </w:rPr>
        <w:t>„</w:t>
      </w:r>
      <w:r w:rsidR="00C43679" w:rsidRPr="00C43679">
        <w:rPr>
          <w:rFonts w:cs="Arial"/>
          <w:szCs w:val="16"/>
        </w:rPr>
        <w:t>Platobný orgán v súlade s čl. 98, ods. 6 nariadenia Európskeho parlamentu a Rady (EÚ) 2021/1060 z Účtov odpočíta najmä:</w:t>
      </w:r>
      <w:r>
        <w:rPr>
          <w:rFonts w:cs="Arial"/>
          <w:szCs w:val="16"/>
        </w:rPr>
        <w:t>“;</w:t>
      </w:r>
    </w:p>
    <w:p w14:paraId="2C041349" w14:textId="77777777" w:rsidR="0081442C" w:rsidRPr="004B00CE" w:rsidRDefault="0081442C" w:rsidP="00E12254">
      <w:pPr>
        <w:widowControl w:val="0"/>
        <w:numPr>
          <w:ilvl w:val="0"/>
          <w:numId w:val="2"/>
        </w:numPr>
        <w:autoSpaceDE w:val="0"/>
        <w:autoSpaceDN w:val="0"/>
        <w:adjustRightInd w:val="0"/>
        <w:spacing w:before="120"/>
        <w:jc w:val="both"/>
        <w:rPr>
          <w:rFonts w:cs="Arial"/>
          <w:b/>
          <w:szCs w:val="16"/>
        </w:rPr>
      </w:pPr>
      <w:r w:rsidRPr="004B00CE">
        <w:rPr>
          <w:rFonts w:cs="Arial"/>
          <w:b/>
          <w:szCs w:val="16"/>
        </w:rPr>
        <w:t>Kapitola 4.</w:t>
      </w:r>
      <w:r w:rsidR="004B00CE" w:rsidRPr="004B00CE">
        <w:rPr>
          <w:rFonts w:cs="Arial"/>
          <w:b/>
          <w:szCs w:val="16"/>
        </w:rPr>
        <w:t>3.5</w:t>
      </w:r>
      <w:r w:rsidR="004B00CE" w:rsidRPr="004B00CE">
        <w:t xml:space="preserve"> </w:t>
      </w:r>
      <w:r w:rsidR="004B00CE" w:rsidRPr="004B00CE">
        <w:rPr>
          <w:rFonts w:cs="Arial"/>
          <w:b/>
          <w:szCs w:val="16"/>
        </w:rPr>
        <w:t>Osobitné pravidlá financovania výdavkov prijímateľa, ktoré sú predmetom prebiehajúceho skúmania</w:t>
      </w:r>
      <w:r w:rsidRPr="004B00CE">
        <w:rPr>
          <w:rFonts w:cs="Arial"/>
          <w:b/>
          <w:szCs w:val="16"/>
        </w:rPr>
        <w:t>,</w:t>
      </w:r>
      <w:r w:rsidR="004B00CE" w:rsidRPr="004B00CE">
        <w:rPr>
          <w:rFonts w:cs="Arial"/>
          <w:b/>
          <w:szCs w:val="16"/>
        </w:rPr>
        <w:t xml:space="preserve"> mení sa bod a)</w:t>
      </w:r>
      <w:r w:rsidR="004B00CE">
        <w:rPr>
          <w:rFonts w:cs="Arial"/>
          <w:b/>
          <w:szCs w:val="16"/>
        </w:rPr>
        <w:t xml:space="preserve"> riadiaci orgán</w:t>
      </w:r>
      <w:r w:rsidRPr="004B00CE">
        <w:rPr>
          <w:rFonts w:cs="Arial"/>
          <w:b/>
          <w:szCs w:val="16"/>
        </w:rPr>
        <w:t xml:space="preserve"> nasledovne:</w:t>
      </w:r>
    </w:p>
    <w:p w14:paraId="33649543" w14:textId="77777777" w:rsidR="004B00CE" w:rsidRPr="004B00CE" w:rsidRDefault="0081442C" w:rsidP="004B00CE">
      <w:pPr>
        <w:widowControl w:val="0"/>
        <w:autoSpaceDE w:val="0"/>
        <w:autoSpaceDN w:val="0"/>
        <w:adjustRightInd w:val="0"/>
        <w:spacing w:before="120"/>
        <w:ind w:left="360"/>
        <w:jc w:val="both"/>
        <w:rPr>
          <w:rFonts w:cs="Arial"/>
          <w:szCs w:val="16"/>
        </w:rPr>
      </w:pPr>
      <w:r w:rsidRPr="0081442C">
        <w:rPr>
          <w:rFonts w:cs="Arial"/>
          <w:szCs w:val="16"/>
        </w:rPr>
        <w:t>„</w:t>
      </w:r>
      <w:r w:rsidR="004B00CE" w:rsidRPr="004B00CE">
        <w:rPr>
          <w:rFonts w:cs="Arial"/>
          <w:szCs w:val="16"/>
        </w:rPr>
        <w:t>Začiatok prebiehajúceho skúmania nastane:</w:t>
      </w:r>
    </w:p>
    <w:p w14:paraId="34BEF898" w14:textId="77777777" w:rsidR="004B00CE" w:rsidRPr="004B00CE" w:rsidRDefault="004B00CE" w:rsidP="004B00CE">
      <w:pPr>
        <w:widowControl w:val="0"/>
        <w:autoSpaceDE w:val="0"/>
        <w:autoSpaceDN w:val="0"/>
        <w:adjustRightInd w:val="0"/>
        <w:spacing w:before="120"/>
        <w:ind w:left="360"/>
        <w:jc w:val="both"/>
        <w:rPr>
          <w:rFonts w:cs="Arial"/>
          <w:szCs w:val="16"/>
        </w:rPr>
      </w:pPr>
      <w:r w:rsidRPr="004B00CE">
        <w:rPr>
          <w:rFonts w:cs="Arial"/>
          <w:szCs w:val="16"/>
        </w:rPr>
        <w:t>•</w:t>
      </w:r>
      <w:r w:rsidRPr="004B00CE">
        <w:rPr>
          <w:rFonts w:cs="Arial"/>
          <w:szCs w:val="16"/>
        </w:rPr>
        <w:tab/>
        <w:t>začatím finančnej kontroly projektu v prípade medializovaných a iných podnetov na základe posúdenia závažnosti prípadu. Prebiehajúce skúmanie je ukončené zaslaním správy z kontroly riadiaceho orgánu povinnej osobe, resp. ak sa podnet nepotvrdil a riadiaci orgán nevyhotovuje správu z kontroly, tak ukončením kontroly riadiaceho orgánu v ITMS;</w:t>
      </w:r>
    </w:p>
    <w:p w14:paraId="1D539D1D" w14:textId="77777777" w:rsidR="004B00CE" w:rsidRPr="004B00CE" w:rsidRDefault="004B00CE" w:rsidP="004B00CE">
      <w:pPr>
        <w:widowControl w:val="0"/>
        <w:autoSpaceDE w:val="0"/>
        <w:autoSpaceDN w:val="0"/>
        <w:adjustRightInd w:val="0"/>
        <w:spacing w:before="120"/>
        <w:ind w:left="360"/>
        <w:jc w:val="both"/>
        <w:rPr>
          <w:rFonts w:cs="Arial"/>
          <w:szCs w:val="16"/>
        </w:rPr>
      </w:pPr>
      <w:r w:rsidRPr="004B00CE">
        <w:rPr>
          <w:rFonts w:cs="Arial"/>
          <w:szCs w:val="16"/>
        </w:rPr>
        <w:t>•</w:t>
      </w:r>
      <w:r w:rsidRPr="004B00CE">
        <w:rPr>
          <w:rFonts w:cs="Arial"/>
          <w:szCs w:val="16"/>
        </w:rPr>
        <w:tab/>
        <w:t>dátumom zaslania podnetu na OČTK, EPPO, PMÚ SR, OLAF EK a iné orgány počas výkonu kontroly. Prebiehajúce skúmanie zároveň v týchto prípadoch nekončí vyjadrením subjektu, ktorému bol podnet podaný, ale až následným zaslaním správy z kontroly riadiaceho orgánu povinnej osobe, resp. ak sa podnet nepotvrdil a riadiaci orgán nevyhotovuje správu z kontroly, tak ukončením kontroly riadiaceho orgánu v ITMS.</w:t>
      </w:r>
    </w:p>
    <w:p w14:paraId="2BBF165C" w14:textId="77777777" w:rsidR="0081442C" w:rsidRPr="0081442C" w:rsidRDefault="004B00CE" w:rsidP="004B00CE">
      <w:pPr>
        <w:widowControl w:val="0"/>
        <w:autoSpaceDE w:val="0"/>
        <w:autoSpaceDN w:val="0"/>
        <w:adjustRightInd w:val="0"/>
        <w:spacing w:before="120"/>
        <w:ind w:left="360"/>
        <w:jc w:val="both"/>
        <w:rPr>
          <w:rFonts w:cs="Arial"/>
          <w:szCs w:val="16"/>
        </w:rPr>
      </w:pPr>
      <w:r w:rsidRPr="004B00CE">
        <w:rPr>
          <w:rFonts w:cs="Arial"/>
          <w:szCs w:val="16"/>
        </w:rPr>
        <w:t>Riadiaci orgán je povinný najneskôr do 5 pracovných dní od zaslania podnetu informovať platobný orgán o zaslanom podnete a to elektronicky na e-mailovú adresu po_podklady@mfsr.sk a orgánu auditu na e-mailovú adresu oa_ucty@mfsr.sk.</w:t>
      </w:r>
      <w:r w:rsidR="0081442C" w:rsidRPr="0081442C">
        <w:rPr>
          <w:rFonts w:cs="Arial"/>
          <w:szCs w:val="16"/>
        </w:rPr>
        <w:t>“;</w:t>
      </w:r>
    </w:p>
    <w:p w14:paraId="5CC9A36F" w14:textId="77777777" w:rsidR="00A11753" w:rsidRDefault="002608EC" w:rsidP="00EB5886">
      <w:pPr>
        <w:widowControl w:val="0"/>
        <w:numPr>
          <w:ilvl w:val="0"/>
          <w:numId w:val="2"/>
        </w:numPr>
        <w:autoSpaceDE w:val="0"/>
        <w:autoSpaceDN w:val="0"/>
        <w:adjustRightInd w:val="0"/>
        <w:spacing w:before="120"/>
        <w:jc w:val="both"/>
        <w:rPr>
          <w:rFonts w:cs="Arial"/>
          <w:b/>
          <w:szCs w:val="16"/>
        </w:rPr>
      </w:pPr>
      <w:r w:rsidRPr="004B00CE">
        <w:rPr>
          <w:rFonts w:cs="Arial"/>
          <w:b/>
          <w:szCs w:val="16"/>
        </w:rPr>
        <w:t>Kapitola 4.3.5</w:t>
      </w:r>
      <w:r w:rsidRPr="004B00CE">
        <w:t xml:space="preserve"> </w:t>
      </w:r>
      <w:r w:rsidRPr="004B00CE">
        <w:rPr>
          <w:rFonts w:cs="Arial"/>
          <w:b/>
          <w:szCs w:val="16"/>
        </w:rPr>
        <w:t xml:space="preserve">Osobitné pravidlá financovania výdavkov prijímateľa, ktoré sú predmetom prebiehajúceho skúmania, mení sa </w:t>
      </w:r>
      <w:r>
        <w:rPr>
          <w:rFonts w:cs="Arial"/>
          <w:b/>
          <w:szCs w:val="16"/>
        </w:rPr>
        <w:t xml:space="preserve">piaty odsek </w:t>
      </w:r>
      <w:r w:rsidRPr="004B00CE">
        <w:rPr>
          <w:rFonts w:cs="Arial"/>
          <w:b/>
          <w:szCs w:val="16"/>
        </w:rPr>
        <w:t>bod</w:t>
      </w:r>
      <w:r>
        <w:rPr>
          <w:rFonts w:cs="Arial"/>
          <w:b/>
          <w:szCs w:val="16"/>
        </w:rPr>
        <w:t>u</w:t>
      </w:r>
      <w:r w:rsidRPr="004B00CE">
        <w:rPr>
          <w:rFonts w:cs="Arial"/>
          <w:b/>
          <w:szCs w:val="16"/>
        </w:rPr>
        <w:t xml:space="preserve"> </w:t>
      </w:r>
      <w:r>
        <w:rPr>
          <w:rFonts w:cs="Arial"/>
          <w:b/>
          <w:szCs w:val="16"/>
        </w:rPr>
        <w:t>c</w:t>
      </w:r>
      <w:r w:rsidRPr="004B00CE">
        <w:rPr>
          <w:rFonts w:cs="Arial"/>
          <w:b/>
          <w:szCs w:val="16"/>
        </w:rPr>
        <w:t>)</w:t>
      </w:r>
      <w:r>
        <w:rPr>
          <w:rFonts w:cs="Arial"/>
          <w:b/>
          <w:szCs w:val="16"/>
        </w:rPr>
        <w:t xml:space="preserve"> OČTK, EPPO, PMÚ SR, OLAF EK</w:t>
      </w:r>
      <w:r w:rsidRPr="004B00CE">
        <w:rPr>
          <w:rFonts w:cs="Arial"/>
          <w:b/>
          <w:szCs w:val="16"/>
        </w:rPr>
        <w:t xml:space="preserve"> nasledovne</w:t>
      </w:r>
      <w:r w:rsidR="00A11753">
        <w:rPr>
          <w:rFonts w:cs="Arial"/>
          <w:b/>
          <w:szCs w:val="16"/>
        </w:rPr>
        <w:t>:</w:t>
      </w:r>
    </w:p>
    <w:p w14:paraId="3E8FB543" w14:textId="77777777" w:rsidR="00A11753" w:rsidRDefault="00A11753" w:rsidP="00EB5886">
      <w:pPr>
        <w:widowControl w:val="0"/>
        <w:autoSpaceDE w:val="0"/>
        <w:autoSpaceDN w:val="0"/>
        <w:adjustRightInd w:val="0"/>
        <w:spacing w:before="120"/>
        <w:ind w:left="360"/>
        <w:jc w:val="both"/>
        <w:rPr>
          <w:rFonts w:cs="Arial"/>
          <w:szCs w:val="16"/>
        </w:rPr>
      </w:pPr>
      <w:r>
        <w:rPr>
          <w:rFonts w:cs="Arial"/>
          <w:szCs w:val="16"/>
        </w:rPr>
        <w:t>„</w:t>
      </w:r>
      <w:r w:rsidR="002608EC" w:rsidRPr="002608EC">
        <w:rPr>
          <w:rFonts w:cs="Arial"/>
          <w:szCs w:val="16"/>
        </w:rPr>
        <w:t>Prebiehajúce skúmanie je ukončené zaslaním správy z kontroly riadiaceho orgánu povinnej osobe, resp. ak sa podnet nepotvrdil a riadiaci orgán nevyhotovuje správu z kontroly, tak ukončením kontroly riadiaceho orgánu v ITMS. Uvedené sa nevzťahuje na list EK so závermi vyšetrovania OLAF EK bez finančných/administratívnych/trestných odporúčaní, kedy je prebiehajúce skúmanie ukončené v zmysle listu EK.</w:t>
      </w:r>
      <w:r>
        <w:rPr>
          <w:rFonts w:cs="Arial"/>
          <w:szCs w:val="16"/>
        </w:rPr>
        <w:t>“;</w:t>
      </w:r>
    </w:p>
    <w:p w14:paraId="2A29A04F" w14:textId="77777777" w:rsidR="00A11753" w:rsidRPr="00EB5886" w:rsidRDefault="004C69C6" w:rsidP="00EB5886">
      <w:pPr>
        <w:widowControl w:val="0"/>
        <w:numPr>
          <w:ilvl w:val="0"/>
          <w:numId w:val="2"/>
        </w:numPr>
        <w:autoSpaceDE w:val="0"/>
        <w:autoSpaceDN w:val="0"/>
        <w:adjustRightInd w:val="0"/>
        <w:spacing w:before="120"/>
        <w:jc w:val="both"/>
        <w:rPr>
          <w:rFonts w:cs="Arial"/>
          <w:b/>
          <w:szCs w:val="16"/>
        </w:rPr>
      </w:pPr>
      <w:r w:rsidRPr="004B00CE">
        <w:rPr>
          <w:rFonts w:cs="Arial"/>
          <w:b/>
          <w:szCs w:val="16"/>
        </w:rPr>
        <w:t>Kapitola 4.3.5</w:t>
      </w:r>
      <w:r w:rsidRPr="004B00CE">
        <w:t xml:space="preserve"> </w:t>
      </w:r>
      <w:r w:rsidRPr="004B00CE">
        <w:rPr>
          <w:rFonts w:cs="Arial"/>
          <w:b/>
          <w:szCs w:val="16"/>
        </w:rPr>
        <w:t xml:space="preserve">Osobitné pravidlá financovania výdavkov prijímateľa, ktoré sú predmetom prebiehajúceho skúmania, mení sa </w:t>
      </w:r>
      <w:r>
        <w:rPr>
          <w:rFonts w:cs="Arial"/>
          <w:b/>
          <w:szCs w:val="16"/>
        </w:rPr>
        <w:t xml:space="preserve">druhý odsek </w:t>
      </w:r>
      <w:r w:rsidRPr="004B00CE">
        <w:rPr>
          <w:rFonts w:cs="Arial"/>
          <w:b/>
          <w:szCs w:val="16"/>
        </w:rPr>
        <w:t>bod</w:t>
      </w:r>
      <w:r>
        <w:rPr>
          <w:rFonts w:cs="Arial"/>
          <w:b/>
          <w:szCs w:val="16"/>
        </w:rPr>
        <w:t>u</w:t>
      </w:r>
      <w:r w:rsidRPr="004B00CE">
        <w:rPr>
          <w:rFonts w:cs="Arial"/>
          <w:b/>
          <w:szCs w:val="16"/>
        </w:rPr>
        <w:t xml:space="preserve"> </w:t>
      </w:r>
      <w:r>
        <w:rPr>
          <w:rFonts w:cs="Arial"/>
          <w:b/>
          <w:szCs w:val="16"/>
        </w:rPr>
        <w:t>e</w:t>
      </w:r>
      <w:r w:rsidRPr="004B00CE">
        <w:rPr>
          <w:rFonts w:cs="Arial"/>
          <w:b/>
          <w:szCs w:val="16"/>
        </w:rPr>
        <w:t>)</w:t>
      </w:r>
      <w:r>
        <w:rPr>
          <w:rFonts w:cs="Arial"/>
          <w:b/>
          <w:szCs w:val="16"/>
        </w:rPr>
        <w:t xml:space="preserve"> iné orgány</w:t>
      </w:r>
      <w:r w:rsidRPr="004B00CE">
        <w:rPr>
          <w:rFonts w:cs="Arial"/>
          <w:b/>
          <w:szCs w:val="16"/>
        </w:rPr>
        <w:t xml:space="preserve"> nasledovne</w:t>
      </w:r>
      <w:r w:rsidR="00A11753" w:rsidRPr="00EB5886">
        <w:rPr>
          <w:rFonts w:cs="Arial"/>
          <w:b/>
          <w:szCs w:val="16"/>
        </w:rPr>
        <w:t>:</w:t>
      </w:r>
    </w:p>
    <w:p w14:paraId="19F7CFCB" w14:textId="77777777" w:rsidR="00A11753" w:rsidRPr="00A11753" w:rsidRDefault="00BA64E5" w:rsidP="00EB5886">
      <w:pPr>
        <w:widowControl w:val="0"/>
        <w:autoSpaceDE w:val="0"/>
        <w:autoSpaceDN w:val="0"/>
        <w:adjustRightInd w:val="0"/>
        <w:spacing w:before="120"/>
        <w:ind w:left="360"/>
        <w:jc w:val="both"/>
        <w:rPr>
          <w:rFonts w:cs="Arial"/>
          <w:szCs w:val="16"/>
        </w:rPr>
      </w:pPr>
      <w:r>
        <w:rPr>
          <w:rFonts w:cs="Arial"/>
          <w:szCs w:val="16"/>
        </w:rPr>
        <w:t>„</w:t>
      </w:r>
      <w:r w:rsidR="004C69C6" w:rsidRPr="004C69C6">
        <w:rPr>
          <w:rFonts w:cs="Arial"/>
          <w:szCs w:val="16"/>
        </w:rPr>
        <w:t>Ak podal podnet iný subjekt ako riadiaci orgán/orgán auditu alebo, ak iné orgány konajú z vlastného podnetu a závery ich kontrol majú alebo môžu mať vplyv na zákonnosť a správnosť výdavkov, riadiaci orgán začne kontrolu najneskôr do 10 pracovných dní od dátumu doručenia protokolu o výsledku kontroly NKÚ/ÚV SR/návrhu správy z vnútorného auditu, pričom začiatkom prebiehajúceho skúmania je dátum doručenia príslušného protokolu o výsledku kontroly NKÚ/ÚV SR/návrhu správy z vnútorného auditu. Prebiehajúce skúmanie je v tomto prípade ukončené zaslaním správy z kontroly riadiaceho orgánu povinnej osobe alebo zaevidovaním nezrovnalosti na poskytovateľa (zistenie s finančným vplyvom, ktoré nie je možné preniesť na prijímateľa), resp. ak sa podnet nepotvrdil a riadiaci orgán nevyhotovuje správu z kontroly, tak ukončením kontroly riadiaceho orgánu v ITMS.</w:t>
      </w:r>
      <w:r>
        <w:rPr>
          <w:rFonts w:cs="Arial"/>
          <w:szCs w:val="16"/>
        </w:rPr>
        <w:t>“;</w:t>
      </w:r>
    </w:p>
    <w:p w14:paraId="52EB5119" w14:textId="77777777" w:rsidR="008854EE" w:rsidRDefault="008854EE" w:rsidP="00FD2BC0">
      <w:pPr>
        <w:jc w:val="both"/>
        <w:rPr>
          <w:rFonts w:cs="Arial"/>
          <w:b/>
          <w:bCs/>
          <w:szCs w:val="16"/>
        </w:rPr>
      </w:pPr>
    </w:p>
    <w:p w14:paraId="28930852" w14:textId="77777777" w:rsidR="008854EE" w:rsidRDefault="00660678" w:rsidP="00FD2BC0">
      <w:pPr>
        <w:numPr>
          <w:ilvl w:val="0"/>
          <w:numId w:val="2"/>
        </w:numPr>
        <w:jc w:val="both"/>
        <w:rPr>
          <w:rFonts w:cs="Arial"/>
          <w:b/>
          <w:bCs/>
          <w:szCs w:val="16"/>
        </w:rPr>
      </w:pPr>
      <w:r w:rsidRPr="004B00CE">
        <w:rPr>
          <w:rFonts w:cs="Arial"/>
          <w:b/>
          <w:szCs w:val="16"/>
        </w:rPr>
        <w:t>Kapitola 4.3.5</w:t>
      </w:r>
      <w:r w:rsidRPr="004B00CE">
        <w:t xml:space="preserve"> </w:t>
      </w:r>
      <w:r w:rsidRPr="004B00CE">
        <w:rPr>
          <w:rFonts w:cs="Arial"/>
          <w:b/>
          <w:szCs w:val="16"/>
        </w:rPr>
        <w:t xml:space="preserve">Osobitné pravidlá financovania výdavkov prijímateľa, ktoré sú predmetom prebiehajúceho skúmania, mení sa </w:t>
      </w:r>
      <w:r>
        <w:rPr>
          <w:rFonts w:cs="Arial"/>
          <w:b/>
          <w:szCs w:val="16"/>
        </w:rPr>
        <w:t>deviaty odsek časti „Všeobecné pravidlá vzťahujúce sa ku všetkým systémom financovania“</w:t>
      </w:r>
      <w:r w:rsidR="00C43950">
        <w:rPr>
          <w:rFonts w:cs="Arial"/>
          <w:b/>
          <w:bCs/>
          <w:szCs w:val="16"/>
        </w:rPr>
        <w:t>:</w:t>
      </w:r>
    </w:p>
    <w:p w14:paraId="2BB2FC45" w14:textId="77777777" w:rsidR="00C43950" w:rsidRDefault="00C43950" w:rsidP="00FD2BC0">
      <w:pPr>
        <w:widowControl w:val="0"/>
        <w:autoSpaceDE w:val="0"/>
        <w:autoSpaceDN w:val="0"/>
        <w:adjustRightInd w:val="0"/>
        <w:spacing w:before="120"/>
        <w:ind w:left="360"/>
        <w:jc w:val="both"/>
        <w:rPr>
          <w:rFonts w:cs="Arial"/>
          <w:szCs w:val="16"/>
        </w:rPr>
      </w:pPr>
      <w:r>
        <w:rPr>
          <w:rFonts w:cs="Arial"/>
          <w:szCs w:val="16"/>
        </w:rPr>
        <w:t>„</w:t>
      </w:r>
      <w:r w:rsidR="00660678" w:rsidRPr="00660678">
        <w:rPr>
          <w:rFonts w:cs="Arial"/>
          <w:szCs w:val="16"/>
        </w:rPr>
        <w:t>v prípade, ak žiadosť o platbu (okrem poskytnutia zálohovej platby) obsahuje výdavok, ktorý je predmetom prebiehajúceho skúmania, riadiaci orgán tento výdavok/časť výdavku v rámci výkonu finančnej kontroly žiadosti o platbu vyčlení. Na základe rozhodnutia o financovaní výdavkov, ktoré sú predmetom prebiehajúceho skúmania, môže riadiaci orgán schváliť obe časti žiadosti o platbu. Uvedený postup zaznamená v návrhu čiastkovej správy/čiastkovej správe z</w:t>
      </w:r>
      <w:r w:rsidR="00901776">
        <w:rPr>
          <w:rFonts w:cs="Arial"/>
          <w:szCs w:val="16"/>
        </w:rPr>
        <w:t> </w:t>
      </w:r>
      <w:r w:rsidR="00660678" w:rsidRPr="00660678">
        <w:rPr>
          <w:rFonts w:cs="Arial"/>
          <w:szCs w:val="16"/>
        </w:rPr>
        <w:t xml:space="preserve">finančnej kontroly pre </w:t>
      </w:r>
      <w:r w:rsidR="00660678" w:rsidRPr="00660678">
        <w:rPr>
          <w:rFonts w:cs="Arial"/>
          <w:szCs w:val="16"/>
        </w:rPr>
        <w:lastRenderedPageBreak/>
        <w:t>zachovanie auditnej stopy, ak sú relevantné, resp. ak riadiaci orgán nevyhotovuje návrh správy/správu z kontroly, tak uvedený postup detailným spôsobom zaznamená v projektovom spise</w:t>
      </w:r>
      <w:r>
        <w:rPr>
          <w:rFonts w:cs="Arial"/>
          <w:szCs w:val="16"/>
        </w:rPr>
        <w:t>“;</w:t>
      </w:r>
    </w:p>
    <w:p w14:paraId="0C84ABAD" w14:textId="77777777" w:rsidR="00BA64E5" w:rsidRPr="00EB5886" w:rsidRDefault="00BA64E5" w:rsidP="00BA64E5">
      <w:pPr>
        <w:widowControl w:val="0"/>
        <w:numPr>
          <w:ilvl w:val="0"/>
          <w:numId w:val="2"/>
        </w:numPr>
        <w:autoSpaceDE w:val="0"/>
        <w:autoSpaceDN w:val="0"/>
        <w:adjustRightInd w:val="0"/>
        <w:spacing w:before="120"/>
        <w:jc w:val="both"/>
        <w:rPr>
          <w:rFonts w:cs="Arial"/>
          <w:szCs w:val="16"/>
        </w:rPr>
      </w:pPr>
      <w:r w:rsidRPr="00EB5886">
        <w:rPr>
          <w:rFonts w:cs="Arial"/>
          <w:b/>
          <w:szCs w:val="16"/>
        </w:rPr>
        <w:t xml:space="preserve">Kapitola </w:t>
      </w:r>
      <w:r w:rsidR="00901776">
        <w:rPr>
          <w:rFonts w:cs="Arial"/>
          <w:b/>
          <w:szCs w:val="16"/>
        </w:rPr>
        <w:t>7.1 Nezrovnalosti</w:t>
      </w:r>
      <w:r>
        <w:rPr>
          <w:rFonts w:cs="Arial"/>
          <w:b/>
          <w:bCs/>
          <w:szCs w:val="16"/>
        </w:rPr>
        <w:t xml:space="preserve">, mení sa </w:t>
      </w:r>
      <w:r w:rsidR="00901776">
        <w:rPr>
          <w:rFonts w:cs="Arial"/>
          <w:b/>
          <w:bCs/>
          <w:szCs w:val="16"/>
        </w:rPr>
        <w:t xml:space="preserve">ôsmy odsek </w:t>
      </w:r>
      <w:r>
        <w:rPr>
          <w:rFonts w:cs="Arial"/>
          <w:b/>
          <w:bCs/>
          <w:szCs w:val="16"/>
        </w:rPr>
        <w:t>nasledovne:</w:t>
      </w:r>
    </w:p>
    <w:p w14:paraId="58BABFB2" w14:textId="77777777" w:rsidR="00BA64E5" w:rsidRPr="003A2FA6" w:rsidRDefault="00BA64E5" w:rsidP="00BA64E5">
      <w:pPr>
        <w:widowControl w:val="0"/>
        <w:autoSpaceDE w:val="0"/>
        <w:autoSpaceDN w:val="0"/>
        <w:adjustRightInd w:val="0"/>
        <w:spacing w:before="120"/>
        <w:ind w:left="360"/>
        <w:jc w:val="both"/>
        <w:rPr>
          <w:rFonts w:cs="Arial"/>
          <w:szCs w:val="16"/>
        </w:rPr>
      </w:pPr>
      <w:r>
        <w:rPr>
          <w:rFonts w:cs="Arial"/>
          <w:szCs w:val="16"/>
        </w:rPr>
        <w:t>„</w:t>
      </w:r>
      <w:r w:rsidR="00901776" w:rsidRPr="00901776">
        <w:rPr>
          <w:rFonts w:cs="Arial"/>
          <w:szCs w:val="16"/>
        </w:rPr>
        <w:t>V rámci národných kontrolných alebo správnych orgánov môže nezrovnalosť zistiť aj Najvyšší kontrolný úrad SR, Ministerstvo financií SR (ako správny orgán I. stupňa), Úrad pre verejné obstarávanie, Protimonopolný úrad, OČTK alebo Úrad vlády SR v rámci výkonu svojich kompetencií. Nezrovnalosť môžu zistiť aj orgány Európskej komisie, Európsky dvor audítorov, Európska prokuratúra alebo OLAF EK v rámci výkonu auditov a vyšetrovaní.</w:t>
      </w:r>
      <w:r w:rsidR="005E52A3">
        <w:rPr>
          <w:rFonts w:cs="Arial"/>
          <w:szCs w:val="16"/>
        </w:rPr>
        <w:t>“</w:t>
      </w:r>
      <w:r w:rsidRPr="00BA64E5">
        <w:rPr>
          <w:rFonts w:cs="Arial"/>
          <w:szCs w:val="16"/>
        </w:rPr>
        <w:t>;</w:t>
      </w:r>
    </w:p>
    <w:p w14:paraId="0F59042E" w14:textId="77777777" w:rsidR="008854EE" w:rsidRDefault="008854EE" w:rsidP="00FD2BC0">
      <w:pPr>
        <w:jc w:val="both"/>
        <w:rPr>
          <w:rFonts w:cs="Arial"/>
          <w:b/>
          <w:bCs/>
          <w:szCs w:val="16"/>
        </w:rPr>
      </w:pPr>
    </w:p>
    <w:p w14:paraId="65021D7E" w14:textId="77777777" w:rsidR="00C43950" w:rsidRPr="00C43950" w:rsidRDefault="00C43950" w:rsidP="00FD2BC0">
      <w:pPr>
        <w:numPr>
          <w:ilvl w:val="0"/>
          <w:numId w:val="2"/>
        </w:numPr>
        <w:jc w:val="both"/>
        <w:rPr>
          <w:rFonts w:cs="Arial"/>
          <w:b/>
          <w:bCs/>
          <w:szCs w:val="16"/>
        </w:rPr>
      </w:pPr>
      <w:r>
        <w:rPr>
          <w:rFonts w:cs="Arial"/>
          <w:b/>
          <w:bCs/>
          <w:szCs w:val="16"/>
        </w:rPr>
        <w:t xml:space="preserve">Kapitola </w:t>
      </w:r>
      <w:r w:rsidR="005D038D">
        <w:rPr>
          <w:rFonts w:cs="Arial"/>
          <w:b/>
          <w:bCs/>
          <w:szCs w:val="16"/>
        </w:rPr>
        <w:t>7.3.2</w:t>
      </w:r>
      <w:r>
        <w:rPr>
          <w:rFonts w:cs="Arial"/>
          <w:b/>
          <w:bCs/>
          <w:szCs w:val="16"/>
        </w:rPr>
        <w:t xml:space="preserve"> </w:t>
      </w:r>
      <w:r w:rsidR="005D038D">
        <w:rPr>
          <w:rFonts w:cs="Arial"/>
          <w:b/>
          <w:bCs/>
          <w:szCs w:val="16"/>
        </w:rPr>
        <w:t xml:space="preserve">Odvod za porušenie finančnej disciplíny, správa a účtovanie pohľadávok, mení sa štvrtý, piaty a šiesty odsek </w:t>
      </w:r>
      <w:r>
        <w:rPr>
          <w:rFonts w:cs="Arial"/>
          <w:b/>
          <w:bCs/>
          <w:szCs w:val="16"/>
        </w:rPr>
        <w:t>nasledovne:</w:t>
      </w:r>
    </w:p>
    <w:p w14:paraId="1D32613D" w14:textId="77777777" w:rsidR="005D038D" w:rsidRPr="005D038D" w:rsidRDefault="00C43950" w:rsidP="005D038D">
      <w:pPr>
        <w:spacing w:before="120" w:after="120"/>
        <w:ind w:left="360"/>
        <w:jc w:val="both"/>
        <w:rPr>
          <w:rFonts w:cs="Arial"/>
          <w:color w:val="000000"/>
          <w:szCs w:val="16"/>
        </w:rPr>
      </w:pPr>
      <w:r>
        <w:rPr>
          <w:rFonts w:cs="Arial"/>
          <w:color w:val="000000"/>
          <w:szCs w:val="16"/>
        </w:rPr>
        <w:t>„</w:t>
      </w:r>
      <w:r w:rsidR="005D038D" w:rsidRPr="005D038D">
        <w:rPr>
          <w:rFonts w:cs="Arial"/>
          <w:color w:val="000000"/>
          <w:szCs w:val="16"/>
        </w:rPr>
        <w:t xml:space="preserve">Ak dôjde k porušeniu finančnej disciplíny podľa zákona č. 523/2004 Z. z. o rozpočtových pravidlách verejnej správy, je správcom pohľadávky z príspevku poskytovateľ do dňa nadobudnutia právoplatnosti rozhodnutia o porušení finančnej disciplíny. Dňom nadobudnutia právoplatnosti rozhodnutia o porušení finančnej disciplíny sa správcom pohľadávky štátu stáva Ministerstvo financií SR. </w:t>
      </w:r>
    </w:p>
    <w:p w14:paraId="30C91B4E" w14:textId="77777777" w:rsidR="005D038D" w:rsidRPr="005D038D" w:rsidRDefault="005D038D" w:rsidP="005D038D">
      <w:pPr>
        <w:spacing w:before="120" w:after="120"/>
        <w:ind w:left="360"/>
        <w:jc w:val="both"/>
        <w:rPr>
          <w:rFonts w:cs="Arial"/>
          <w:color w:val="000000"/>
          <w:szCs w:val="16"/>
        </w:rPr>
      </w:pPr>
      <w:r w:rsidRPr="005D038D">
        <w:rPr>
          <w:rFonts w:cs="Arial"/>
          <w:color w:val="000000"/>
          <w:szCs w:val="16"/>
        </w:rPr>
        <w:t>O pohľadávke z rozhodnutia týkajúcej sa prostriedkov štátneho rozpočtu na spolufinancovanie v správe Ministerstva financií SR účtuje príslušný riadiaci orgán. O pohľadávke z rozhodnutia týkajúcej sa prostriedkov EÚ schválených platobným orgánom v správe Ministerstva financií SR alebo o pohľadávke z príspevku týkajúcej sa prostriedkov EÚ schválených platobným orgánom účtuje platobný orgán. O pohľadávke z rozhodnutia voči užívateľovi v rámci národného projektu prijímateľa, ktorým je Ústredie práce, sociálnych vecí a rodiny týkajúcej sa prostriedkov EÚ a prostriedkov štátneho rozpočtu na spolufinancovanie účtuje prijímateľ, ktorým je Ústredie práce, sociálnych vecí a rodiny.</w:t>
      </w:r>
    </w:p>
    <w:p w14:paraId="2E295761" w14:textId="77777777" w:rsidR="00C43950" w:rsidRPr="004D2A0D" w:rsidRDefault="005D038D" w:rsidP="005D038D">
      <w:pPr>
        <w:spacing w:before="120" w:after="120"/>
        <w:ind w:left="360"/>
        <w:jc w:val="both"/>
        <w:rPr>
          <w:rFonts w:cs="Arial"/>
          <w:color w:val="000000"/>
          <w:szCs w:val="16"/>
        </w:rPr>
      </w:pPr>
      <w:r w:rsidRPr="005D038D">
        <w:rPr>
          <w:rFonts w:cs="Arial"/>
          <w:color w:val="000000"/>
          <w:szCs w:val="16"/>
        </w:rPr>
        <w:t>V rámci implementácie finančných nástrojov v súlade s § 32 zákona č. 121/2022 Z. z. o príspevkoch z fondov EÚ, ak prijímateľ nevráti príspevok na finančný nástroj alebo jeho časť na základe žiadosti o vrátenie finančných prostriedkov, riadiaci orgán oznámi túto skutočnosť Odboru prvostupňových správnych konaní Ministerstva financií SR, ktorý rozhodne o</w:t>
      </w:r>
      <w:r>
        <w:rPr>
          <w:rFonts w:cs="Arial"/>
          <w:color w:val="000000"/>
          <w:szCs w:val="16"/>
        </w:rPr>
        <w:t> </w:t>
      </w:r>
      <w:r w:rsidRPr="005D038D">
        <w:rPr>
          <w:rFonts w:cs="Arial"/>
          <w:color w:val="000000"/>
          <w:szCs w:val="16"/>
        </w:rPr>
        <w:t>vrátení príspevku na finančný nástroj alebo jeho časti. Ak prijímateľ nevráti príspevok na finančný nástroj alebo jeho časť, Ministerstvo financií SR tento príspevok na finančný nástroj alebo jeho časť a penále vymáha v správnom konaní. Bližšie podmienky pre podrobnosti správy pohľadávok budú upravené v usmerneniach a manuáloch Ministerstva financií SR, najmä v usmernení MF SR č. 1/2024-U k nezrovnalostiam a finančným opravám v rámci finančného riadenia fondov EÚ na programové obdobie 2021 – 2027.</w:t>
      </w:r>
      <w:r w:rsidR="00C43950">
        <w:rPr>
          <w:rFonts w:cs="Arial"/>
          <w:color w:val="000000"/>
          <w:szCs w:val="16"/>
        </w:rPr>
        <w:t>“;</w:t>
      </w:r>
    </w:p>
    <w:p w14:paraId="0309E821" w14:textId="77777777" w:rsidR="007935A1" w:rsidRDefault="00D22DF0" w:rsidP="00FD2BC0">
      <w:pPr>
        <w:numPr>
          <w:ilvl w:val="0"/>
          <w:numId w:val="2"/>
        </w:numPr>
        <w:jc w:val="both"/>
        <w:rPr>
          <w:rFonts w:cs="Arial"/>
          <w:b/>
          <w:bCs/>
          <w:szCs w:val="16"/>
        </w:rPr>
      </w:pPr>
      <w:r>
        <w:rPr>
          <w:rFonts w:cs="Arial"/>
          <w:b/>
          <w:bCs/>
          <w:szCs w:val="16"/>
        </w:rPr>
        <w:t>Príloh</w:t>
      </w:r>
      <w:r w:rsidR="005B66DB">
        <w:rPr>
          <w:rFonts w:cs="Arial"/>
          <w:b/>
          <w:bCs/>
          <w:szCs w:val="16"/>
        </w:rPr>
        <w:t xml:space="preserve">a 2b </w:t>
      </w:r>
      <w:r w:rsidR="005B66DB" w:rsidRPr="005B66DB">
        <w:rPr>
          <w:rFonts w:cs="Arial"/>
          <w:b/>
          <w:bCs/>
          <w:szCs w:val="16"/>
        </w:rPr>
        <w:t>Zoznam nezrovnalostí a vratiek identifikovaných orgánom auditu v rámci vykonaného vládneho auditu k výdavkom príslušného účtovného roka</w:t>
      </w:r>
      <w:r w:rsidR="007E0747">
        <w:rPr>
          <w:rFonts w:cs="Arial"/>
          <w:b/>
          <w:bCs/>
          <w:szCs w:val="16"/>
        </w:rPr>
        <w:t xml:space="preserve"> sa mení nasledovne</w:t>
      </w:r>
      <w:r w:rsidR="007935A1">
        <w:rPr>
          <w:rFonts w:cs="Arial"/>
          <w:b/>
          <w:bCs/>
          <w:szCs w:val="16"/>
        </w:rPr>
        <w:t>:</w:t>
      </w:r>
    </w:p>
    <w:p w14:paraId="2E1ADCD5" w14:textId="77777777" w:rsidR="007935A1" w:rsidRDefault="005B66DB" w:rsidP="005B66DB">
      <w:pPr>
        <w:autoSpaceDE w:val="0"/>
        <w:autoSpaceDN w:val="0"/>
        <w:adjustRightInd w:val="0"/>
        <w:spacing w:before="120" w:after="120"/>
        <w:ind w:left="357"/>
        <w:jc w:val="both"/>
        <w:rPr>
          <w:rFonts w:cs="Arial"/>
          <w:szCs w:val="16"/>
        </w:rPr>
      </w:pPr>
      <w:r>
        <w:rPr>
          <w:rFonts w:cs="Arial"/>
          <w:szCs w:val="16"/>
        </w:rPr>
        <w:t>ú</w:t>
      </w:r>
      <w:r w:rsidR="007935A1">
        <w:rPr>
          <w:rFonts w:cs="Arial"/>
          <w:szCs w:val="16"/>
        </w:rPr>
        <w:t xml:space="preserve">prava </w:t>
      </w:r>
      <w:r>
        <w:rPr>
          <w:rFonts w:cs="Arial"/>
          <w:szCs w:val="16"/>
        </w:rPr>
        <w:t>legendy formulára;</w:t>
      </w:r>
    </w:p>
    <w:p w14:paraId="57969C9D" w14:textId="77777777" w:rsidR="005B66DB" w:rsidRDefault="005B66DB" w:rsidP="005B66DB">
      <w:pPr>
        <w:numPr>
          <w:ilvl w:val="0"/>
          <w:numId w:val="2"/>
        </w:numPr>
        <w:jc w:val="both"/>
        <w:rPr>
          <w:rFonts w:cs="Arial"/>
          <w:b/>
          <w:bCs/>
          <w:szCs w:val="16"/>
        </w:rPr>
      </w:pPr>
      <w:r>
        <w:rPr>
          <w:rFonts w:cs="Arial"/>
          <w:b/>
          <w:bCs/>
          <w:szCs w:val="16"/>
        </w:rPr>
        <w:t xml:space="preserve">Príloha 3 </w:t>
      </w:r>
      <w:r w:rsidRPr="005B66DB">
        <w:rPr>
          <w:rFonts w:cs="Arial"/>
          <w:b/>
          <w:bCs/>
          <w:szCs w:val="16"/>
        </w:rPr>
        <w:t>Vyhlásenie riadiaceho orgánu/sprostredkovateľského orgánu o správnosti a zákonnosti výdavkov a</w:t>
      </w:r>
      <w:r>
        <w:rPr>
          <w:rFonts w:cs="Arial"/>
          <w:b/>
          <w:bCs/>
          <w:szCs w:val="16"/>
        </w:rPr>
        <w:t> </w:t>
      </w:r>
      <w:r w:rsidRPr="005B66DB">
        <w:rPr>
          <w:rFonts w:cs="Arial"/>
          <w:b/>
          <w:bCs/>
          <w:szCs w:val="16"/>
        </w:rPr>
        <w:t>o</w:t>
      </w:r>
      <w:r>
        <w:rPr>
          <w:rFonts w:cs="Arial"/>
          <w:b/>
          <w:bCs/>
          <w:szCs w:val="16"/>
        </w:rPr>
        <w:t> </w:t>
      </w:r>
      <w:r w:rsidRPr="005B66DB">
        <w:rPr>
          <w:rFonts w:cs="Arial"/>
          <w:b/>
          <w:bCs/>
          <w:szCs w:val="16"/>
        </w:rPr>
        <w:t>úplnosti, presnosti a pravdivosti predkladaných informácií a</w:t>
      </w:r>
      <w:r>
        <w:rPr>
          <w:rFonts w:cs="Arial"/>
          <w:b/>
          <w:bCs/>
          <w:szCs w:val="16"/>
        </w:rPr>
        <w:t> </w:t>
      </w:r>
      <w:r w:rsidRPr="005B66DB">
        <w:rPr>
          <w:rFonts w:cs="Arial"/>
          <w:b/>
          <w:bCs/>
          <w:szCs w:val="16"/>
        </w:rPr>
        <w:t>dokumentov</w:t>
      </w:r>
      <w:r>
        <w:rPr>
          <w:rFonts w:cs="Arial"/>
          <w:b/>
          <w:bCs/>
          <w:szCs w:val="16"/>
        </w:rPr>
        <w:t>, mení sa prvý bod nasledovne:</w:t>
      </w:r>
    </w:p>
    <w:p w14:paraId="48031D95" w14:textId="77777777" w:rsidR="005B66DB" w:rsidRDefault="005B66DB" w:rsidP="005B66DB">
      <w:pPr>
        <w:autoSpaceDE w:val="0"/>
        <w:autoSpaceDN w:val="0"/>
        <w:adjustRightInd w:val="0"/>
        <w:spacing w:before="120" w:after="120"/>
        <w:ind w:left="357"/>
        <w:jc w:val="both"/>
        <w:rPr>
          <w:rFonts w:cs="Arial"/>
          <w:szCs w:val="16"/>
        </w:rPr>
      </w:pPr>
      <w:r>
        <w:rPr>
          <w:rFonts w:cs="Arial"/>
          <w:szCs w:val="16"/>
        </w:rPr>
        <w:t xml:space="preserve">„1. </w:t>
      </w:r>
      <w:r w:rsidRPr="005B66DB">
        <w:rPr>
          <w:rFonts w:cs="Arial"/>
          <w:szCs w:val="16"/>
        </w:rPr>
        <w:t>Výdavky prijímateľov zahrnuté v súhrnných žiadostiach o platbu a následne schválené platobným orgánom sú v súlade s uplatniteľným právom a sú zákonné a správne, spĺňajú kritériá oprávnenosti výdavkov stanovené v čl. 63 až 68 nariadenia Európskeho parlamentu a Rady (EÚ) č. 2021/1060, prijímatelia ich uhradili pri uskutočňovaní operácií vybraných v rámci programu v súlade s podmienkami pre výber operácií podľa čl. 73 tohto nariadenia, resp. v prípade programov Interreg v súlade s čl. 22 nariadenia Európskeho parlamentu a Rady (EÚ) č. 2021/1059  a boli predmetom finančnej kontroly vykonanej riadiacim orgánom/sprostredkovateľským orgánom1 v zmysle čl. 74 uvedeného nariadenia.</w:t>
      </w:r>
      <w:r>
        <w:rPr>
          <w:rFonts w:cs="Arial"/>
          <w:szCs w:val="16"/>
        </w:rPr>
        <w:t>“;</w:t>
      </w:r>
    </w:p>
    <w:p w14:paraId="3A92C235" w14:textId="77777777" w:rsidR="005B66DB" w:rsidRDefault="005B66DB" w:rsidP="005B66DB">
      <w:pPr>
        <w:numPr>
          <w:ilvl w:val="0"/>
          <w:numId w:val="2"/>
        </w:numPr>
        <w:jc w:val="both"/>
        <w:rPr>
          <w:rFonts w:cs="Arial"/>
          <w:b/>
          <w:bCs/>
          <w:szCs w:val="16"/>
        </w:rPr>
      </w:pPr>
      <w:r>
        <w:rPr>
          <w:rFonts w:cs="Arial"/>
          <w:b/>
          <w:bCs/>
          <w:szCs w:val="16"/>
        </w:rPr>
        <w:t xml:space="preserve">Príloha 5 </w:t>
      </w:r>
      <w:r w:rsidRPr="005B66DB">
        <w:rPr>
          <w:rFonts w:cs="Arial"/>
          <w:b/>
          <w:bCs/>
          <w:szCs w:val="16"/>
        </w:rPr>
        <w:t>Prehľad najčastejších prípadov prebiehajúcich skúmaní</w:t>
      </w:r>
      <w:r w:rsidR="007E0747">
        <w:rPr>
          <w:rFonts w:cs="Arial"/>
          <w:b/>
          <w:bCs/>
          <w:szCs w:val="16"/>
        </w:rPr>
        <w:t xml:space="preserve"> sa mení nasledovne</w:t>
      </w:r>
      <w:r>
        <w:rPr>
          <w:rFonts w:cs="Arial"/>
          <w:b/>
          <w:bCs/>
          <w:szCs w:val="16"/>
        </w:rPr>
        <w:t>:</w:t>
      </w:r>
    </w:p>
    <w:p w14:paraId="2B31465E" w14:textId="77777777" w:rsidR="005B66DB" w:rsidRDefault="007E0747" w:rsidP="005B66DB">
      <w:pPr>
        <w:autoSpaceDE w:val="0"/>
        <w:autoSpaceDN w:val="0"/>
        <w:adjustRightInd w:val="0"/>
        <w:spacing w:before="120" w:after="120"/>
        <w:ind w:left="357"/>
        <w:jc w:val="both"/>
        <w:rPr>
          <w:rFonts w:cs="Arial"/>
          <w:szCs w:val="16"/>
        </w:rPr>
      </w:pPr>
      <w:r>
        <w:rPr>
          <w:rFonts w:cs="Arial"/>
          <w:szCs w:val="16"/>
        </w:rPr>
        <w:t>úprava</w:t>
      </w:r>
      <w:r w:rsidR="005B66DB">
        <w:rPr>
          <w:rFonts w:cs="Arial"/>
          <w:szCs w:val="16"/>
        </w:rPr>
        <w:t xml:space="preserve"> formulára</w:t>
      </w:r>
      <w:r w:rsidR="00C67F6D">
        <w:rPr>
          <w:rFonts w:cs="Arial"/>
          <w:szCs w:val="16"/>
        </w:rPr>
        <w:t xml:space="preserve"> v časti koniec prebiehajúceho skúmania</w:t>
      </w:r>
      <w:r w:rsidR="005B66DB">
        <w:rPr>
          <w:rFonts w:cs="Arial"/>
          <w:szCs w:val="16"/>
        </w:rPr>
        <w:t>.</w:t>
      </w:r>
    </w:p>
    <w:p w14:paraId="1C655932" w14:textId="77777777" w:rsidR="005B66DB" w:rsidRDefault="005B66DB" w:rsidP="005B66DB">
      <w:pPr>
        <w:autoSpaceDE w:val="0"/>
        <w:autoSpaceDN w:val="0"/>
        <w:adjustRightInd w:val="0"/>
        <w:spacing w:before="120"/>
        <w:ind w:left="360"/>
        <w:jc w:val="both"/>
        <w:rPr>
          <w:rFonts w:cs="Arial"/>
          <w:szCs w:val="16"/>
        </w:rPr>
      </w:pPr>
    </w:p>
    <w:p w14:paraId="771B8CDB" w14:textId="77777777" w:rsidR="00935E88" w:rsidRPr="004C63EF" w:rsidRDefault="00935E88" w:rsidP="00FD2BC0">
      <w:pPr>
        <w:widowControl w:val="0"/>
        <w:autoSpaceDE w:val="0"/>
        <w:autoSpaceDN w:val="0"/>
        <w:adjustRightInd w:val="0"/>
        <w:spacing w:before="120"/>
        <w:jc w:val="both"/>
        <w:rPr>
          <w:rFonts w:cs="Arial"/>
          <w:szCs w:val="16"/>
        </w:rPr>
      </w:pPr>
      <w:r w:rsidRPr="008854EE">
        <w:rPr>
          <w:rFonts w:cs="Arial"/>
          <w:szCs w:val="16"/>
        </w:rPr>
        <w:br/>
      </w:r>
    </w:p>
    <w:p w14:paraId="76F7A883" w14:textId="77777777" w:rsidR="00B040A2" w:rsidRPr="004C63EF" w:rsidRDefault="00B040A2" w:rsidP="00FD2BC0">
      <w:pPr>
        <w:widowControl w:val="0"/>
        <w:autoSpaceDE w:val="0"/>
        <w:autoSpaceDN w:val="0"/>
        <w:adjustRightInd w:val="0"/>
        <w:spacing w:before="120"/>
        <w:ind w:left="284"/>
        <w:jc w:val="both"/>
        <w:rPr>
          <w:rFonts w:cs="Arial"/>
          <w:b/>
          <w:bCs/>
          <w:szCs w:val="16"/>
        </w:rPr>
      </w:pPr>
    </w:p>
    <w:p w14:paraId="1608ACA4" w14:textId="77777777" w:rsidR="00C1750B" w:rsidRPr="001A428F" w:rsidRDefault="00C1750B" w:rsidP="00F912FE">
      <w:pPr>
        <w:tabs>
          <w:tab w:val="left" w:pos="360"/>
        </w:tabs>
        <w:spacing w:before="360" w:after="240"/>
        <w:jc w:val="both"/>
        <w:rPr>
          <w:rFonts w:cs="Arial"/>
          <w:b/>
          <w:bCs/>
          <w:szCs w:val="16"/>
        </w:rPr>
      </w:pPr>
    </w:p>
    <w:sectPr w:rsidR="00C1750B" w:rsidRPr="001A428F" w:rsidSect="002A139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1596" w14:textId="77777777" w:rsidR="00441FDE" w:rsidRDefault="00441FDE">
      <w:r>
        <w:separator/>
      </w:r>
    </w:p>
  </w:endnote>
  <w:endnote w:type="continuationSeparator" w:id="0">
    <w:p w14:paraId="24C63EBE" w14:textId="77777777" w:rsidR="00441FDE" w:rsidRDefault="0044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Times New Roman"/>
    <w:panose1 w:val="020B0604020202020204"/>
    <w:charset w:val="EE"/>
    <w:family w:val="swiss"/>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alibri">
    <w:altName w:val="Arial"/>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ˇ¦|||||||||||||||||||||||||||"/>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4978" w14:textId="439979B8" w:rsidR="00375E2D" w:rsidRDefault="00375E2D">
    <w:pPr>
      <w:pStyle w:val="Pta"/>
    </w:pPr>
    <w:r>
      <w:rPr>
        <w:noProof/>
      </w:rPr>
      <mc:AlternateContent>
        <mc:Choice Requires="wps">
          <w:drawing>
            <wp:anchor distT="0" distB="0" distL="0" distR="0" simplePos="0" relativeHeight="251659264" behindDoc="0" locked="0" layoutInCell="1" allowOverlap="1" wp14:anchorId="71DF4DD3" wp14:editId="455AEA86">
              <wp:simplePos x="635" y="635"/>
              <wp:positionH relativeFrom="page">
                <wp:align>left</wp:align>
              </wp:positionH>
              <wp:positionV relativeFrom="page">
                <wp:align>bottom</wp:align>
              </wp:positionV>
              <wp:extent cx="633095" cy="345440"/>
              <wp:effectExtent l="0" t="0" r="14605" b="0"/>
              <wp:wrapNone/>
              <wp:docPr id="842043244"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611BB627" w14:textId="7F27F0AC" w:rsidR="00375E2D" w:rsidRPr="00375E2D" w:rsidRDefault="00375E2D" w:rsidP="00375E2D">
                          <w:pPr>
                            <w:rPr>
                              <w:rFonts w:ascii="Calibri" w:eastAsia="Calibri" w:hAnsi="Calibri" w:cs="Calibri"/>
                              <w:noProof/>
                              <w:color w:val="000000"/>
                              <w:sz w:val="20"/>
                              <w:szCs w:val="20"/>
                            </w:rPr>
                          </w:pPr>
                          <w:r w:rsidRPr="00375E2D">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DF4DD3" id="_x0000_t202" coordsize="21600,21600" o:spt="202" path="m,l,21600r21600,l21600,xe">
              <v:stroke joinstyle="miter"/>
              <v:path gradientshapeok="t" o:connecttype="rect"/>
            </v:shapetype>
            <v:shape id="Textové pole 2" o:spid="_x0000_s1026"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fill o:detectmouseclick="t"/>
              <v:textbox style="mso-fit-shape-to-text:t" inset="20pt,0,0,15pt">
                <w:txbxContent>
                  <w:p w14:paraId="611BB627" w14:textId="7F27F0AC" w:rsidR="00375E2D" w:rsidRPr="00375E2D" w:rsidRDefault="00375E2D" w:rsidP="00375E2D">
                    <w:pPr>
                      <w:rPr>
                        <w:rFonts w:ascii="Calibri" w:eastAsia="Calibri" w:hAnsi="Calibri" w:cs="Calibri"/>
                        <w:noProof/>
                        <w:color w:val="000000"/>
                        <w:sz w:val="20"/>
                        <w:szCs w:val="20"/>
                      </w:rPr>
                    </w:pPr>
                    <w:r w:rsidRPr="00375E2D">
                      <w:rPr>
                        <w:rFonts w:ascii="Calibri" w:eastAsia="Calibri" w:hAnsi="Calibri" w:cs="Calibri"/>
                        <w:noProof/>
                        <w:color w:val="000000"/>
                        <w:sz w:val="20"/>
                        <w:szCs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7A88" w14:textId="559DB467" w:rsidR="00DD5669" w:rsidRPr="00BB65F3" w:rsidRDefault="00B229A1" w:rsidP="00BB65F3">
    <w:pPr>
      <w:pStyle w:val="Pta"/>
      <w:jc w:val="right"/>
      <w:rPr>
        <w:rFonts w:cs="Arial"/>
        <w:szCs w:val="16"/>
      </w:rPr>
    </w:pPr>
    <w:r w:rsidRPr="00B229A1">
      <w:rPr>
        <w:rFonts w:cs="Arial"/>
        <w:szCs w:val="16"/>
      </w:rPr>
      <w:t>Ministerstvo financií SR</w:t>
    </w:r>
    <w:r>
      <w:rPr>
        <w:rFonts w:cs="Arial"/>
        <w:szCs w:val="16"/>
      </w:rPr>
      <w:tab/>
    </w:r>
    <w:r>
      <w:rPr>
        <w:rFonts w:cs="Arial"/>
        <w:szCs w:val="16"/>
      </w:rPr>
      <w:tab/>
    </w:r>
    <w:r w:rsidR="00DD5669" w:rsidRPr="00BB65F3">
      <w:rPr>
        <w:rFonts w:cs="Arial"/>
        <w:szCs w:val="16"/>
      </w:rPr>
      <w:fldChar w:fldCharType="begin"/>
    </w:r>
    <w:r w:rsidR="00DD5669" w:rsidRPr="00BB65F3">
      <w:rPr>
        <w:rFonts w:cs="Arial"/>
        <w:szCs w:val="16"/>
      </w:rPr>
      <w:instrText xml:space="preserve"> PAGE </w:instrText>
    </w:r>
    <w:r w:rsidR="00DD5669" w:rsidRPr="00BB65F3">
      <w:rPr>
        <w:rFonts w:cs="Arial"/>
        <w:szCs w:val="16"/>
      </w:rPr>
      <w:fldChar w:fldCharType="separate"/>
    </w:r>
    <w:r w:rsidR="00D35BCE">
      <w:rPr>
        <w:rFonts w:cs="Arial"/>
        <w:noProof/>
        <w:szCs w:val="16"/>
      </w:rPr>
      <w:t>2</w:t>
    </w:r>
    <w:r w:rsidR="00DD5669" w:rsidRPr="00BB65F3">
      <w:rPr>
        <w:rFonts w:cs="Arial"/>
        <w:szCs w:val="16"/>
      </w:rPr>
      <w:fldChar w:fldCharType="end"/>
    </w:r>
    <w:r w:rsidR="00DD5669" w:rsidRPr="00BB65F3">
      <w:rPr>
        <w:rFonts w:cs="Arial"/>
        <w:szCs w:val="16"/>
      </w:rPr>
      <w:t>/</w:t>
    </w:r>
    <w:r w:rsidR="00DD5669" w:rsidRPr="00BB65F3">
      <w:rPr>
        <w:rFonts w:cs="Arial"/>
        <w:szCs w:val="16"/>
      </w:rPr>
      <w:fldChar w:fldCharType="begin"/>
    </w:r>
    <w:r w:rsidR="00DD5669" w:rsidRPr="00BB65F3">
      <w:rPr>
        <w:rFonts w:cs="Arial"/>
        <w:szCs w:val="16"/>
      </w:rPr>
      <w:instrText xml:space="preserve"> NUMPAGES </w:instrText>
    </w:r>
    <w:r w:rsidR="00DD5669" w:rsidRPr="00BB65F3">
      <w:rPr>
        <w:rFonts w:cs="Arial"/>
        <w:szCs w:val="16"/>
      </w:rPr>
      <w:fldChar w:fldCharType="separate"/>
    </w:r>
    <w:r w:rsidR="00D35BCE">
      <w:rPr>
        <w:rFonts w:cs="Arial"/>
        <w:noProof/>
        <w:szCs w:val="16"/>
      </w:rPr>
      <w:t>2</w:t>
    </w:r>
    <w:r w:rsidR="00DD5669" w:rsidRPr="00BB65F3">
      <w:rPr>
        <w:rFonts w:cs="Arial"/>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D6CE" w14:textId="513EA66C" w:rsidR="00375E2D" w:rsidRDefault="00375E2D">
    <w:pPr>
      <w:pStyle w:val="Pta"/>
    </w:pPr>
    <w:r>
      <w:rPr>
        <w:noProof/>
      </w:rPr>
      <mc:AlternateContent>
        <mc:Choice Requires="wps">
          <w:drawing>
            <wp:anchor distT="0" distB="0" distL="0" distR="0" simplePos="0" relativeHeight="251658240" behindDoc="0" locked="0" layoutInCell="1" allowOverlap="1" wp14:anchorId="6B836DC6" wp14:editId="67944949">
              <wp:simplePos x="635" y="635"/>
              <wp:positionH relativeFrom="page">
                <wp:align>left</wp:align>
              </wp:positionH>
              <wp:positionV relativeFrom="page">
                <wp:align>bottom</wp:align>
              </wp:positionV>
              <wp:extent cx="633095" cy="345440"/>
              <wp:effectExtent l="0" t="0" r="14605" b="0"/>
              <wp:wrapNone/>
              <wp:docPr id="1703806362" name="Textové pole 1"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1BC39448" w14:textId="391C5CE8" w:rsidR="00375E2D" w:rsidRPr="00375E2D" w:rsidRDefault="00375E2D" w:rsidP="00375E2D">
                          <w:pPr>
                            <w:rPr>
                              <w:rFonts w:ascii="Calibri" w:eastAsia="Calibri" w:hAnsi="Calibri" w:cs="Calibri"/>
                              <w:noProof/>
                              <w:color w:val="000000"/>
                              <w:sz w:val="20"/>
                              <w:szCs w:val="20"/>
                            </w:rPr>
                          </w:pPr>
                          <w:r w:rsidRPr="00375E2D">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836DC6" id="_x0000_t202" coordsize="21600,21600" o:spt="202" path="m,l,21600r21600,l21600,xe">
              <v:stroke joinstyle="miter"/>
              <v:path gradientshapeok="t" o:connecttype="rect"/>
            </v:shapetype>
            <v:shape id="Textové pole 1" o:spid="_x0000_s1027" type="#_x0000_t202" alt="Interné" style="position:absolute;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fill o:detectmouseclick="t"/>
              <v:textbox style="mso-fit-shape-to-text:t" inset="20pt,0,0,15pt">
                <w:txbxContent>
                  <w:p w14:paraId="1BC39448" w14:textId="391C5CE8" w:rsidR="00375E2D" w:rsidRPr="00375E2D" w:rsidRDefault="00375E2D" w:rsidP="00375E2D">
                    <w:pPr>
                      <w:rPr>
                        <w:rFonts w:ascii="Calibri" w:eastAsia="Calibri" w:hAnsi="Calibri" w:cs="Calibri"/>
                        <w:noProof/>
                        <w:color w:val="000000"/>
                        <w:sz w:val="20"/>
                        <w:szCs w:val="20"/>
                      </w:rPr>
                    </w:pPr>
                    <w:r w:rsidRPr="00375E2D">
                      <w:rPr>
                        <w:rFonts w:ascii="Calibri" w:eastAsia="Calibri" w:hAnsi="Calibri" w:cs="Calibri"/>
                        <w:noProof/>
                        <w:color w:val="000000"/>
                        <w:sz w:val="20"/>
                        <w:szCs w:val="20"/>
                      </w:rPr>
                      <w:t>Interné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53FB" w14:textId="77777777" w:rsidR="00441FDE" w:rsidRDefault="00441FDE">
      <w:r>
        <w:separator/>
      </w:r>
    </w:p>
  </w:footnote>
  <w:footnote w:type="continuationSeparator" w:id="0">
    <w:p w14:paraId="3FC3E2A7" w14:textId="77777777" w:rsidR="00441FDE" w:rsidRDefault="0044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6487" w14:textId="77777777" w:rsidR="00B33FD7" w:rsidRDefault="00B33FD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289F" w14:textId="2A5DE065" w:rsidR="00F912FE" w:rsidRDefault="00052350" w:rsidP="00375E2D">
    <w:pPr>
      <w:pStyle w:val="Hlavika"/>
      <w:rPr>
        <w:rFonts w:cs="Arial"/>
        <w:szCs w:val="16"/>
      </w:rPr>
    </w:pPr>
    <w:r>
      <w:t>Príručka k finančnému riadeniu fondov EÚ na programové obdobie 2021 – 2027, verzia 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E5AA" w14:textId="77777777" w:rsidR="00B33FD7" w:rsidRDefault="00B33FD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5DF0"/>
    <w:multiLevelType w:val="hybridMultilevel"/>
    <w:tmpl w:val="FFFFFFFF"/>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D093320"/>
    <w:multiLevelType w:val="hybridMultilevel"/>
    <w:tmpl w:val="FFFFFFFF"/>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hint="default"/>
      </w:rPr>
    </w:lvl>
    <w:lvl w:ilvl="2" w:tplc="041B0005">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 w15:restartNumberingAfterBreak="0">
    <w:nsid w:val="16A86142"/>
    <w:multiLevelType w:val="hybridMultilevel"/>
    <w:tmpl w:val="FFFFFFFF"/>
    <w:lvl w:ilvl="0" w:tplc="8BD29332">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AE4AD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8EB1B03"/>
    <w:multiLevelType w:val="hybridMultilevel"/>
    <w:tmpl w:val="FFFFFFFF"/>
    <w:lvl w:ilvl="0" w:tplc="3F52BBDE">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E70491F"/>
    <w:multiLevelType w:val="hybridMultilevel"/>
    <w:tmpl w:val="FFFFFFFF"/>
    <w:lvl w:ilvl="0" w:tplc="67DA9270">
      <w:start w:val="4"/>
      <w:numFmt w:val="lowerLetter"/>
      <w:lvlText w:val="%1)"/>
      <w:lvlJc w:val="left"/>
      <w:pPr>
        <w:ind w:left="720" w:hanging="360"/>
      </w:pPr>
      <w:rPr>
        <w:rFonts w:cs="Times New Roman" w:hint="default"/>
        <w:b w:val="0"/>
        <w:sz w:val="16"/>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38F009CD"/>
    <w:multiLevelType w:val="hybridMultilevel"/>
    <w:tmpl w:val="FFFFFFFF"/>
    <w:lvl w:ilvl="0" w:tplc="041B000F">
      <w:start w:val="1"/>
      <w:numFmt w:val="decimal"/>
      <w:lvlText w:val="%1."/>
      <w:lvlJc w:val="left"/>
      <w:pPr>
        <w:ind w:left="1146" w:hanging="360"/>
      </w:pPr>
      <w:rPr>
        <w:rFonts w:cs="Times New Roman"/>
      </w:rPr>
    </w:lvl>
    <w:lvl w:ilvl="1" w:tplc="041B0019" w:tentative="1">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7" w15:restartNumberingAfterBreak="0">
    <w:nsid w:val="3AE5353B"/>
    <w:multiLevelType w:val="hybridMultilevel"/>
    <w:tmpl w:val="FFFFFFFF"/>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405B20FA"/>
    <w:multiLevelType w:val="hybridMultilevel"/>
    <w:tmpl w:val="FFFFFFFF"/>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4302512"/>
    <w:multiLevelType w:val="hybridMultilevel"/>
    <w:tmpl w:val="FFFFFFFF"/>
    <w:lvl w:ilvl="0" w:tplc="2140E252">
      <w:start w:val="1"/>
      <w:numFmt w:val="bullet"/>
      <w:lvlText w:val=""/>
      <w:lvlJc w:val="left"/>
      <w:pPr>
        <w:ind w:left="761" w:hanging="360"/>
      </w:pPr>
      <w:rPr>
        <w:rFonts w:ascii="Symbol" w:hAnsi="Symbol" w:hint="default"/>
      </w:rPr>
    </w:lvl>
    <w:lvl w:ilvl="1" w:tplc="041B0003">
      <w:start w:val="1"/>
      <w:numFmt w:val="bullet"/>
      <w:lvlText w:val="o"/>
      <w:lvlJc w:val="left"/>
      <w:pPr>
        <w:ind w:left="1481" w:hanging="360"/>
      </w:pPr>
      <w:rPr>
        <w:rFonts w:ascii="Courier New" w:hAnsi="Courier New" w:hint="default"/>
      </w:rPr>
    </w:lvl>
    <w:lvl w:ilvl="2" w:tplc="041B0005">
      <w:start w:val="1"/>
      <w:numFmt w:val="bullet"/>
      <w:lvlText w:val=""/>
      <w:lvlJc w:val="left"/>
      <w:pPr>
        <w:ind w:left="2201" w:hanging="360"/>
      </w:pPr>
      <w:rPr>
        <w:rFonts w:ascii="Wingdings" w:hAnsi="Wingdings" w:hint="default"/>
      </w:rPr>
    </w:lvl>
    <w:lvl w:ilvl="3" w:tplc="041B0001">
      <w:start w:val="1"/>
      <w:numFmt w:val="bullet"/>
      <w:lvlText w:val=""/>
      <w:lvlJc w:val="left"/>
      <w:pPr>
        <w:ind w:left="2921" w:hanging="360"/>
      </w:pPr>
      <w:rPr>
        <w:rFonts w:ascii="Symbol" w:hAnsi="Symbol" w:hint="default"/>
      </w:rPr>
    </w:lvl>
    <w:lvl w:ilvl="4" w:tplc="041B0003" w:tentative="1">
      <w:start w:val="1"/>
      <w:numFmt w:val="bullet"/>
      <w:lvlText w:val="o"/>
      <w:lvlJc w:val="left"/>
      <w:pPr>
        <w:ind w:left="3641" w:hanging="360"/>
      </w:pPr>
      <w:rPr>
        <w:rFonts w:ascii="Courier New" w:hAnsi="Courier New" w:hint="default"/>
      </w:rPr>
    </w:lvl>
    <w:lvl w:ilvl="5" w:tplc="041B0005" w:tentative="1">
      <w:start w:val="1"/>
      <w:numFmt w:val="bullet"/>
      <w:lvlText w:val=""/>
      <w:lvlJc w:val="left"/>
      <w:pPr>
        <w:ind w:left="4361" w:hanging="360"/>
      </w:pPr>
      <w:rPr>
        <w:rFonts w:ascii="Wingdings" w:hAnsi="Wingdings" w:hint="default"/>
      </w:rPr>
    </w:lvl>
    <w:lvl w:ilvl="6" w:tplc="041B0001" w:tentative="1">
      <w:start w:val="1"/>
      <w:numFmt w:val="bullet"/>
      <w:lvlText w:val=""/>
      <w:lvlJc w:val="left"/>
      <w:pPr>
        <w:ind w:left="5081" w:hanging="360"/>
      </w:pPr>
      <w:rPr>
        <w:rFonts w:ascii="Symbol" w:hAnsi="Symbol" w:hint="default"/>
      </w:rPr>
    </w:lvl>
    <w:lvl w:ilvl="7" w:tplc="041B0003" w:tentative="1">
      <w:start w:val="1"/>
      <w:numFmt w:val="bullet"/>
      <w:lvlText w:val="o"/>
      <w:lvlJc w:val="left"/>
      <w:pPr>
        <w:ind w:left="5801" w:hanging="360"/>
      </w:pPr>
      <w:rPr>
        <w:rFonts w:ascii="Courier New" w:hAnsi="Courier New" w:hint="default"/>
      </w:rPr>
    </w:lvl>
    <w:lvl w:ilvl="8" w:tplc="041B0005" w:tentative="1">
      <w:start w:val="1"/>
      <w:numFmt w:val="bullet"/>
      <w:lvlText w:val=""/>
      <w:lvlJc w:val="left"/>
      <w:pPr>
        <w:ind w:left="6521" w:hanging="360"/>
      </w:pPr>
      <w:rPr>
        <w:rFonts w:ascii="Wingdings" w:hAnsi="Wingdings" w:hint="default"/>
      </w:rPr>
    </w:lvl>
  </w:abstractNum>
  <w:abstractNum w:abstractNumId="10" w15:restartNumberingAfterBreak="0">
    <w:nsid w:val="4AEA24D9"/>
    <w:multiLevelType w:val="hybridMultilevel"/>
    <w:tmpl w:val="FFFFFFFF"/>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FA657C7"/>
    <w:multiLevelType w:val="hybridMultilevel"/>
    <w:tmpl w:val="FFFFFFFF"/>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0B91ADF"/>
    <w:multiLevelType w:val="hybridMultilevel"/>
    <w:tmpl w:val="FFFFFFFF"/>
    <w:lvl w:ilvl="0" w:tplc="041B000F">
      <w:start w:val="1"/>
      <w:numFmt w:val="decimal"/>
      <w:lvlText w:val="%1."/>
      <w:lvlJc w:val="left"/>
      <w:pPr>
        <w:ind w:left="1146" w:hanging="360"/>
      </w:pPr>
      <w:rPr>
        <w:rFonts w:cs="Times New Roman"/>
      </w:rPr>
    </w:lvl>
    <w:lvl w:ilvl="1" w:tplc="041B0019" w:tentative="1">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13" w15:restartNumberingAfterBreak="0">
    <w:nsid w:val="54300C32"/>
    <w:multiLevelType w:val="hybridMultilevel"/>
    <w:tmpl w:val="FFFFFFFF"/>
    <w:lvl w:ilvl="0" w:tplc="8C2C1792">
      <w:start w:val="1"/>
      <w:numFmt w:val="decimal"/>
      <w:lvlText w:val="%1."/>
      <w:lvlJc w:val="left"/>
      <w:pPr>
        <w:ind w:left="360" w:hanging="360"/>
      </w:pPr>
      <w:rPr>
        <w:rFonts w:cs="Times New Roman" w:hint="default"/>
        <w:b/>
        <w:sz w:val="16"/>
        <w:szCs w:val="16"/>
        <w:vertAlign w:val="baseline"/>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576E62B9"/>
    <w:multiLevelType w:val="hybridMultilevel"/>
    <w:tmpl w:val="FFFFFFFF"/>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 w15:restartNumberingAfterBreak="0">
    <w:nsid w:val="5E245B64"/>
    <w:multiLevelType w:val="hybridMultilevel"/>
    <w:tmpl w:val="FFFFFFFF"/>
    <w:lvl w:ilvl="0" w:tplc="041B000F">
      <w:start w:val="1"/>
      <w:numFmt w:val="decimal"/>
      <w:lvlText w:val="%1."/>
      <w:lvlJc w:val="left"/>
      <w:pPr>
        <w:tabs>
          <w:tab w:val="num" w:pos="360"/>
        </w:tabs>
        <w:ind w:left="360" w:hanging="360"/>
      </w:pPr>
      <w:rPr>
        <w:rFonts w:cs="Times New Roman" w:hint="default"/>
      </w:rPr>
    </w:lvl>
    <w:lvl w:ilvl="1" w:tplc="041B0017">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EF515AE"/>
    <w:multiLevelType w:val="hybridMultilevel"/>
    <w:tmpl w:val="FFFFFFFF"/>
    <w:lvl w:ilvl="0" w:tplc="E7426708">
      <w:start w:val="1"/>
      <w:numFmt w:val="bullet"/>
      <w:lvlText w:val=""/>
      <w:lvlJc w:val="righ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ABF6956"/>
    <w:multiLevelType w:val="hybridMultilevel"/>
    <w:tmpl w:val="FFFFFFFF"/>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025FAA"/>
    <w:multiLevelType w:val="multilevel"/>
    <w:tmpl w:val="FFFFFFFF"/>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9" w15:restartNumberingAfterBreak="0">
    <w:nsid w:val="79297A4D"/>
    <w:multiLevelType w:val="hybridMultilevel"/>
    <w:tmpl w:val="FFFFFFFF"/>
    <w:lvl w:ilvl="0" w:tplc="78328A48">
      <w:start w:val="1"/>
      <w:numFmt w:val="decimal"/>
      <w:lvlText w:val="%1."/>
      <w:lvlJc w:val="left"/>
      <w:pPr>
        <w:tabs>
          <w:tab w:val="num" w:pos="360"/>
        </w:tabs>
        <w:ind w:left="36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16cid:durableId="141243341">
    <w:abstractNumId w:val="18"/>
  </w:num>
  <w:num w:numId="2" w16cid:durableId="1801728398">
    <w:abstractNumId w:val="13"/>
  </w:num>
  <w:num w:numId="3" w16cid:durableId="1187056640">
    <w:abstractNumId w:val="3"/>
  </w:num>
  <w:num w:numId="4" w16cid:durableId="2090693594">
    <w:abstractNumId w:val="11"/>
  </w:num>
  <w:num w:numId="5" w16cid:durableId="1127434196">
    <w:abstractNumId w:val="0"/>
  </w:num>
  <w:num w:numId="6" w16cid:durableId="1655573463">
    <w:abstractNumId w:val="16"/>
  </w:num>
  <w:num w:numId="7" w16cid:durableId="1508402690">
    <w:abstractNumId w:val="12"/>
  </w:num>
  <w:num w:numId="8" w16cid:durableId="715356747">
    <w:abstractNumId w:val="6"/>
  </w:num>
  <w:num w:numId="9" w16cid:durableId="1615941915">
    <w:abstractNumId w:val="1"/>
  </w:num>
  <w:num w:numId="10" w16cid:durableId="1247425704">
    <w:abstractNumId w:val="5"/>
  </w:num>
  <w:num w:numId="11" w16cid:durableId="1352682213">
    <w:abstractNumId w:val="9"/>
  </w:num>
  <w:num w:numId="12" w16cid:durableId="1701777231">
    <w:abstractNumId w:val="2"/>
  </w:num>
  <w:num w:numId="13" w16cid:durableId="200478017">
    <w:abstractNumId w:val="4"/>
  </w:num>
  <w:num w:numId="14" w16cid:durableId="761797551">
    <w:abstractNumId w:val="10"/>
  </w:num>
  <w:num w:numId="15" w16cid:durableId="865366088">
    <w:abstractNumId w:val="8"/>
  </w:num>
  <w:num w:numId="16" w16cid:durableId="1361197590">
    <w:abstractNumId w:val="15"/>
  </w:num>
  <w:num w:numId="17" w16cid:durableId="583950325">
    <w:abstractNumId w:val="17"/>
  </w:num>
  <w:num w:numId="18" w16cid:durableId="2121216120">
    <w:abstractNumId w:val="19"/>
  </w:num>
  <w:num w:numId="19" w16cid:durableId="427234232">
    <w:abstractNumId w:val="7"/>
  </w:num>
  <w:num w:numId="20" w16cid:durableId="106988624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D8F"/>
    <w:rsid w:val="00003CC5"/>
    <w:rsid w:val="00004255"/>
    <w:rsid w:val="00006381"/>
    <w:rsid w:val="00007740"/>
    <w:rsid w:val="000079B5"/>
    <w:rsid w:val="00010315"/>
    <w:rsid w:val="00010ABB"/>
    <w:rsid w:val="00014E0C"/>
    <w:rsid w:val="00014FC8"/>
    <w:rsid w:val="00017471"/>
    <w:rsid w:val="00017F31"/>
    <w:rsid w:val="00021054"/>
    <w:rsid w:val="00021B1C"/>
    <w:rsid w:val="000227C6"/>
    <w:rsid w:val="00022CE3"/>
    <w:rsid w:val="000235FB"/>
    <w:rsid w:val="00025263"/>
    <w:rsid w:val="00026D7D"/>
    <w:rsid w:val="000357DD"/>
    <w:rsid w:val="0003748C"/>
    <w:rsid w:val="000401A0"/>
    <w:rsid w:val="00041273"/>
    <w:rsid w:val="000418B0"/>
    <w:rsid w:val="0004190F"/>
    <w:rsid w:val="00041CA8"/>
    <w:rsid w:val="00044729"/>
    <w:rsid w:val="00047D28"/>
    <w:rsid w:val="00051177"/>
    <w:rsid w:val="00052350"/>
    <w:rsid w:val="00053FF5"/>
    <w:rsid w:val="00057389"/>
    <w:rsid w:val="000602F0"/>
    <w:rsid w:val="00060A52"/>
    <w:rsid w:val="00061997"/>
    <w:rsid w:val="00062C3C"/>
    <w:rsid w:val="00066DFF"/>
    <w:rsid w:val="000674FA"/>
    <w:rsid w:val="00067F5F"/>
    <w:rsid w:val="00072B6F"/>
    <w:rsid w:val="000734D7"/>
    <w:rsid w:val="000745A7"/>
    <w:rsid w:val="000748E6"/>
    <w:rsid w:val="00080862"/>
    <w:rsid w:val="00082F2A"/>
    <w:rsid w:val="00083314"/>
    <w:rsid w:val="0008557C"/>
    <w:rsid w:val="00087665"/>
    <w:rsid w:val="00091AA5"/>
    <w:rsid w:val="00095328"/>
    <w:rsid w:val="00095F9F"/>
    <w:rsid w:val="000962D2"/>
    <w:rsid w:val="0009645C"/>
    <w:rsid w:val="000A08AB"/>
    <w:rsid w:val="000A166D"/>
    <w:rsid w:val="000A2D1A"/>
    <w:rsid w:val="000B0E8D"/>
    <w:rsid w:val="000B5016"/>
    <w:rsid w:val="000B50A7"/>
    <w:rsid w:val="000B6921"/>
    <w:rsid w:val="000B78E8"/>
    <w:rsid w:val="000B7A4F"/>
    <w:rsid w:val="000C02DB"/>
    <w:rsid w:val="000C0389"/>
    <w:rsid w:val="000C0D6E"/>
    <w:rsid w:val="000C3992"/>
    <w:rsid w:val="000C3E58"/>
    <w:rsid w:val="000C4D79"/>
    <w:rsid w:val="000C5B87"/>
    <w:rsid w:val="000C6FDC"/>
    <w:rsid w:val="000C7063"/>
    <w:rsid w:val="000D5D71"/>
    <w:rsid w:val="000D6E70"/>
    <w:rsid w:val="000D79C1"/>
    <w:rsid w:val="000E0FEA"/>
    <w:rsid w:val="000E24B1"/>
    <w:rsid w:val="000E3193"/>
    <w:rsid w:val="000E5D6F"/>
    <w:rsid w:val="000F49BA"/>
    <w:rsid w:val="000F6250"/>
    <w:rsid w:val="00101A2F"/>
    <w:rsid w:val="00102805"/>
    <w:rsid w:val="00102AC6"/>
    <w:rsid w:val="001031A7"/>
    <w:rsid w:val="00105A37"/>
    <w:rsid w:val="00107561"/>
    <w:rsid w:val="00110EB0"/>
    <w:rsid w:val="00115025"/>
    <w:rsid w:val="001155A5"/>
    <w:rsid w:val="00117724"/>
    <w:rsid w:val="00117D8F"/>
    <w:rsid w:val="00120131"/>
    <w:rsid w:val="00120DE9"/>
    <w:rsid w:val="0012137D"/>
    <w:rsid w:val="001222A0"/>
    <w:rsid w:val="00122D53"/>
    <w:rsid w:val="00124916"/>
    <w:rsid w:val="0012712E"/>
    <w:rsid w:val="00136091"/>
    <w:rsid w:val="001369DE"/>
    <w:rsid w:val="00136DF7"/>
    <w:rsid w:val="001403A7"/>
    <w:rsid w:val="001433EB"/>
    <w:rsid w:val="00144445"/>
    <w:rsid w:val="001449E0"/>
    <w:rsid w:val="0014553F"/>
    <w:rsid w:val="001474F0"/>
    <w:rsid w:val="00147929"/>
    <w:rsid w:val="001519C0"/>
    <w:rsid w:val="0015376B"/>
    <w:rsid w:val="0015559D"/>
    <w:rsid w:val="001563E8"/>
    <w:rsid w:val="00157FDC"/>
    <w:rsid w:val="00160DB9"/>
    <w:rsid w:val="00163E53"/>
    <w:rsid w:val="00165232"/>
    <w:rsid w:val="00166732"/>
    <w:rsid w:val="0017467A"/>
    <w:rsid w:val="001759D3"/>
    <w:rsid w:val="00181E9D"/>
    <w:rsid w:val="001834C4"/>
    <w:rsid w:val="0018560D"/>
    <w:rsid w:val="00186D2E"/>
    <w:rsid w:val="001874FB"/>
    <w:rsid w:val="00187B32"/>
    <w:rsid w:val="001933C5"/>
    <w:rsid w:val="00196597"/>
    <w:rsid w:val="001977AA"/>
    <w:rsid w:val="001A0BBD"/>
    <w:rsid w:val="001A1CFD"/>
    <w:rsid w:val="001A428F"/>
    <w:rsid w:val="001A44DB"/>
    <w:rsid w:val="001A4555"/>
    <w:rsid w:val="001A4737"/>
    <w:rsid w:val="001B1491"/>
    <w:rsid w:val="001B1B0B"/>
    <w:rsid w:val="001B4158"/>
    <w:rsid w:val="001C09AD"/>
    <w:rsid w:val="001C1202"/>
    <w:rsid w:val="001C1327"/>
    <w:rsid w:val="001C2791"/>
    <w:rsid w:val="001C2E5E"/>
    <w:rsid w:val="001C573E"/>
    <w:rsid w:val="001C5D0F"/>
    <w:rsid w:val="001C5DC4"/>
    <w:rsid w:val="001D12B1"/>
    <w:rsid w:val="001D27DD"/>
    <w:rsid w:val="001D2D73"/>
    <w:rsid w:val="001D7541"/>
    <w:rsid w:val="001D7FEE"/>
    <w:rsid w:val="001E1A02"/>
    <w:rsid w:val="001E2357"/>
    <w:rsid w:val="001E38A2"/>
    <w:rsid w:val="001E5DD3"/>
    <w:rsid w:val="001E728C"/>
    <w:rsid w:val="001F1684"/>
    <w:rsid w:val="001F32C7"/>
    <w:rsid w:val="001F4355"/>
    <w:rsid w:val="001F52C0"/>
    <w:rsid w:val="001F67D8"/>
    <w:rsid w:val="00201992"/>
    <w:rsid w:val="00205110"/>
    <w:rsid w:val="002054FD"/>
    <w:rsid w:val="00205F6A"/>
    <w:rsid w:val="00206B96"/>
    <w:rsid w:val="0020795B"/>
    <w:rsid w:val="00207E24"/>
    <w:rsid w:val="002125EA"/>
    <w:rsid w:val="00212D1A"/>
    <w:rsid w:val="00213617"/>
    <w:rsid w:val="002142C6"/>
    <w:rsid w:val="002151DB"/>
    <w:rsid w:val="00217AE7"/>
    <w:rsid w:val="00217C3A"/>
    <w:rsid w:val="00217EF1"/>
    <w:rsid w:val="00220555"/>
    <w:rsid w:val="002207FA"/>
    <w:rsid w:val="002213FE"/>
    <w:rsid w:val="00221620"/>
    <w:rsid w:val="00221BDB"/>
    <w:rsid w:val="00223F4D"/>
    <w:rsid w:val="0022478B"/>
    <w:rsid w:val="00224DAB"/>
    <w:rsid w:val="00227451"/>
    <w:rsid w:val="00230200"/>
    <w:rsid w:val="00231C1E"/>
    <w:rsid w:val="00234233"/>
    <w:rsid w:val="0023680A"/>
    <w:rsid w:val="00237AB7"/>
    <w:rsid w:val="00242D36"/>
    <w:rsid w:val="00243C50"/>
    <w:rsid w:val="00244CCB"/>
    <w:rsid w:val="002462D1"/>
    <w:rsid w:val="00246FF5"/>
    <w:rsid w:val="0024797E"/>
    <w:rsid w:val="00251D77"/>
    <w:rsid w:val="00252228"/>
    <w:rsid w:val="00252790"/>
    <w:rsid w:val="00252F9F"/>
    <w:rsid w:val="00252FC0"/>
    <w:rsid w:val="00253BF0"/>
    <w:rsid w:val="00254A5D"/>
    <w:rsid w:val="00256F35"/>
    <w:rsid w:val="002572FF"/>
    <w:rsid w:val="00257602"/>
    <w:rsid w:val="002606CC"/>
    <w:rsid w:val="002608EC"/>
    <w:rsid w:val="002615F3"/>
    <w:rsid w:val="002618E3"/>
    <w:rsid w:val="0026503A"/>
    <w:rsid w:val="0026639B"/>
    <w:rsid w:val="00270253"/>
    <w:rsid w:val="002703C7"/>
    <w:rsid w:val="00271A98"/>
    <w:rsid w:val="00275088"/>
    <w:rsid w:val="00275C35"/>
    <w:rsid w:val="002761D1"/>
    <w:rsid w:val="002769BB"/>
    <w:rsid w:val="00277ECD"/>
    <w:rsid w:val="0028139F"/>
    <w:rsid w:val="00283415"/>
    <w:rsid w:val="00283D99"/>
    <w:rsid w:val="002854EA"/>
    <w:rsid w:val="0028681B"/>
    <w:rsid w:val="0029080A"/>
    <w:rsid w:val="00291447"/>
    <w:rsid w:val="00291BF3"/>
    <w:rsid w:val="002933C5"/>
    <w:rsid w:val="00293521"/>
    <w:rsid w:val="0029368D"/>
    <w:rsid w:val="002954DF"/>
    <w:rsid w:val="0029706B"/>
    <w:rsid w:val="002975A6"/>
    <w:rsid w:val="002A1390"/>
    <w:rsid w:val="002A6308"/>
    <w:rsid w:val="002A6644"/>
    <w:rsid w:val="002A7A89"/>
    <w:rsid w:val="002A7CEB"/>
    <w:rsid w:val="002B46AC"/>
    <w:rsid w:val="002B5B25"/>
    <w:rsid w:val="002B7B85"/>
    <w:rsid w:val="002C7E62"/>
    <w:rsid w:val="002D5A6B"/>
    <w:rsid w:val="002D6666"/>
    <w:rsid w:val="002D6966"/>
    <w:rsid w:val="002D7EF1"/>
    <w:rsid w:val="002E03D3"/>
    <w:rsid w:val="002E0F19"/>
    <w:rsid w:val="002E1B76"/>
    <w:rsid w:val="002E4B43"/>
    <w:rsid w:val="002F53A8"/>
    <w:rsid w:val="002F6373"/>
    <w:rsid w:val="002F68C8"/>
    <w:rsid w:val="002F78BF"/>
    <w:rsid w:val="00306093"/>
    <w:rsid w:val="00307BC3"/>
    <w:rsid w:val="00310B24"/>
    <w:rsid w:val="00310E65"/>
    <w:rsid w:val="00311486"/>
    <w:rsid w:val="00313DD9"/>
    <w:rsid w:val="00314658"/>
    <w:rsid w:val="0031498A"/>
    <w:rsid w:val="003165B0"/>
    <w:rsid w:val="00320AEF"/>
    <w:rsid w:val="0032109E"/>
    <w:rsid w:val="003225FA"/>
    <w:rsid w:val="003264BB"/>
    <w:rsid w:val="00331659"/>
    <w:rsid w:val="00331F14"/>
    <w:rsid w:val="003329EC"/>
    <w:rsid w:val="0034247C"/>
    <w:rsid w:val="00343B79"/>
    <w:rsid w:val="0034413F"/>
    <w:rsid w:val="00347460"/>
    <w:rsid w:val="00350C4C"/>
    <w:rsid w:val="00353068"/>
    <w:rsid w:val="00354334"/>
    <w:rsid w:val="003551AF"/>
    <w:rsid w:val="00356181"/>
    <w:rsid w:val="00356341"/>
    <w:rsid w:val="003617FA"/>
    <w:rsid w:val="003625F8"/>
    <w:rsid w:val="00364376"/>
    <w:rsid w:val="00365983"/>
    <w:rsid w:val="00366EA1"/>
    <w:rsid w:val="00366F50"/>
    <w:rsid w:val="00371E4B"/>
    <w:rsid w:val="00372815"/>
    <w:rsid w:val="00372B0F"/>
    <w:rsid w:val="00375E2D"/>
    <w:rsid w:val="00382995"/>
    <w:rsid w:val="00383C9F"/>
    <w:rsid w:val="00385716"/>
    <w:rsid w:val="003863B8"/>
    <w:rsid w:val="00387943"/>
    <w:rsid w:val="003936DA"/>
    <w:rsid w:val="00393DE6"/>
    <w:rsid w:val="00393E49"/>
    <w:rsid w:val="003A2FA6"/>
    <w:rsid w:val="003A35DC"/>
    <w:rsid w:val="003A503B"/>
    <w:rsid w:val="003B1B8D"/>
    <w:rsid w:val="003B1D43"/>
    <w:rsid w:val="003B246A"/>
    <w:rsid w:val="003B3A70"/>
    <w:rsid w:val="003B4DC7"/>
    <w:rsid w:val="003C2ECA"/>
    <w:rsid w:val="003C4A6C"/>
    <w:rsid w:val="003D01E5"/>
    <w:rsid w:val="003D1148"/>
    <w:rsid w:val="003D2E41"/>
    <w:rsid w:val="003D5C2B"/>
    <w:rsid w:val="003D797C"/>
    <w:rsid w:val="003E081D"/>
    <w:rsid w:val="003E1738"/>
    <w:rsid w:val="003E17E5"/>
    <w:rsid w:val="003E4694"/>
    <w:rsid w:val="003E46C8"/>
    <w:rsid w:val="003E5854"/>
    <w:rsid w:val="003E6FF0"/>
    <w:rsid w:val="003F54C1"/>
    <w:rsid w:val="0040077C"/>
    <w:rsid w:val="00400FF0"/>
    <w:rsid w:val="00406F7A"/>
    <w:rsid w:val="00407AE1"/>
    <w:rsid w:val="00411A0A"/>
    <w:rsid w:val="00411B9C"/>
    <w:rsid w:val="00411FBE"/>
    <w:rsid w:val="00416110"/>
    <w:rsid w:val="00416C7F"/>
    <w:rsid w:val="004178B2"/>
    <w:rsid w:val="00420291"/>
    <w:rsid w:val="00421181"/>
    <w:rsid w:val="0042134E"/>
    <w:rsid w:val="0042197A"/>
    <w:rsid w:val="00422256"/>
    <w:rsid w:val="004225D5"/>
    <w:rsid w:val="00423716"/>
    <w:rsid w:val="00423EF3"/>
    <w:rsid w:val="00424735"/>
    <w:rsid w:val="00427C87"/>
    <w:rsid w:val="004301C6"/>
    <w:rsid w:val="00432234"/>
    <w:rsid w:val="00436E48"/>
    <w:rsid w:val="00437372"/>
    <w:rsid w:val="00440DA8"/>
    <w:rsid w:val="0044126A"/>
    <w:rsid w:val="004412F6"/>
    <w:rsid w:val="00441FDE"/>
    <w:rsid w:val="00443EC2"/>
    <w:rsid w:val="00445D9F"/>
    <w:rsid w:val="00447CDA"/>
    <w:rsid w:val="004502D3"/>
    <w:rsid w:val="004504A6"/>
    <w:rsid w:val="00450DB5"/>
    <w:rsid w:val="00451289"/>
    <w:rsid w:val="004518B1"/>
    <w:rsid w:val="0045315E"/>
    <w:rsid w:val="00453C27"/>
    <w:rsid w:val="00453E6E"/>
    <w:rsid w:val="00453ECA"/>
    <w:rsid w:val="00454D4E"/>
    <w:rsid w:val="00455CA3"/>
    <w:rsid w:val="00457C31"/>
    <w:rsid w:val="00457D52"/>
    <w:rsid w:val="00463B4E"/>
    <w:rsid w:val="00464C03"/>
    <w:rsid w:val="00467A98"/>
    <w:rsid w:val="00470532"/>
    <w:rsid w:val="0047180E"/>
    <w:rsid w:val="00474B21"/>
    <w:rsid w:val="00477C18"/>
    <w:rsid w:val="00482387"/>
    <w:rsid w:val="0048269D"/>
    <w:rsid w:val="0049284A"/>
    <w:rsid w:val="004928F5"/>
    <w:rsid w:val="00492D6F"/>
    <w:rsid w:val="00494FE7"/>
    <w:rsid w:val="004A088D"/>
    <w:rsid w:val="004A1CA7"/>
    <w:rsid w:val="004A2FAC"/>
    <w:rsid w:val="004A3E33"/>
    <w:rsid w:val="004A674F"/>
    <w:rsid w:val="004B00CE"/>
    <w:rsid w:val="004B02CE"/>
    <w:rsid w:val="004B1592"/>
    <w:rsid w:val="004B18DE"/>
    <w:rsid w:val="004B4E32"/>
    <w:rsid w:val="004B7505"/>
    <w:rsid w:val="004C16E8"/>
    <w:rsid w:val="004C3E2F"/>
    <w:rsid w:val="004C48C2"/>
    <w:rsid w:val="004C4A52"/>
    <w:rsid w:val="004C5449"/>
    <w:rsid w:val="004C57E8"/>
    <w:rsid w:val="004C63EF"/>
    <w:rsid w:val="004C69C6"/>
    <w:rsid w:val="004D0371"/>
    <w:rsid w:val="004D0C2D"/>
    <w:rsid w:val="004D289F"/>
    <w:rsid w:val="004D2A0D"/>
    <w:rsid w:val="004D4DFE"/>
    <w:rsid w:val="004D4F70"/>
    <w:rsid w:val="004D5989"/>
    <w:rsid w:val="004E01B4"/>
    <w:rsid w:val="004E0CF3"/>
    <w:rsid w:val="004E150C"/>
    <w:rsid w:val="004E1F4E"/>
    <w:rsid w:val="004E3C1C"/>
    <w:rsid w:val="004E40E9"/>
    <w:rsid w:val="004E4541"/>
    <w:rsid w:val="004E55C5"/>
    <w:rsid w:val="004E7892"/>
    <w:rsid w:val="004F0380"/>
    <w:rsid w:val="004F0EDD"/>
    <w:rsid w:val="004F1063"/>
    <w:rsid w:val="004F1576"/>
    <w:rsid w:val="004F2ED3"/>
    <w:rsid w:val="004F4920"/>
    <w:rsid w:val="004F5752"/>
    <w:rsid w:val="00505032"/>
    <w:rsid w:val="005070E1"/>
    <w:rsid w:val="0050727B"/>
    <w:rsid w:val="00507EF8"/>
    <w:rsid w:val="00512D55"/>
    <w:rsid w:val="00513AB1"/>
    <w:rsid w:val="0051457E"/>
    <w:rsid w:val="00515377"/>
    <w:rsid w:val="00520A3A"/>
    <w:rsid w:val="0052156A"/>
    <w:rsid w:val="00521F07"/>
    <w:rsid w:val="00522316"/>
    <w:rsid w:val="00523DA2"/>
    <w:rsid w:val="0052443B"/>
    <w:rsid w:val="005272A3"/>
    <w:rsid w:val="005278D9"/>
    <w:rsid w:val="00530567"/>
    <w:rsid w:val="005319D7"/>
    <w:rsid w:val="00532845"/>
    <w:rsid w:val="00533EB2"/>
    <w:rsid w:val="00536603"/>
    <w:rsid w:val="0053775B"/>
    <w:rsid w:val="00540781"/>
    <w:rsid w:val="00540820"/>
    <w:rsid w:val="00540E64"/>
    <w:rsid w:val="0054345D"/>
    <w:rsid w:val="00544C1E"/>
    <w:rsid w:val="00547417"/>
    <w:rsid w:val="0054762D"/>
    <w:rsid w:val="00551AAD"/>
    <w:rsid w:val="00553959"/>
    <w:rsid w:val="00556B5B"/>
    <w:rsid w:val="005579EF"/>
    <w:rsid w:val="00557ACC"/>
    <w:rsid w:val="00561C27"/>
    <w:rsid w:val="00562F83"/>
    <w:rsid w:val="00563832"/>
    <w:rsid w:val="00564070"/>
    <w:rsid w:val="00566B5A"/>
    <w:rsid w:val="00570472"/>
    <w:rsid w:val="00571689"/>
    <w:rsid w:val="00572418"/>
    <w:rsid w:val="005735F6"/>
    <w:rsid w:val="005739E7"/>
    <w:rsid w:val="00574A87"/>
    <w:rsid w:val="005758D3"/>
    <w:rsid w:val="005800BF"/>
    <w:rsid w:val="00583B94"/>
    <w:rsid w:val="0058417F"/>
    <w:rsid w:val="00584BAC"/>
    <w:rsid w:val="00585231"/>
    <w:rsid w:val="0058537D"/>
    <w:rsid w:val="00586977"/>
    <w:rsid w:val="00586C4E"/>
    <w:rsid w:val="00587874"/>
    <w:rsid w:val="00590FB0"/>
    <w:rsid w:val="00591938"/>
    <w:rsid w:val="005921DF"/>
    <w:rsid w:val="00592A6D"/>
    <w:rsid w:val="00593375"/>
    <w:rsid w:val="0059543A"/>
    <w:rsid w:val="005A210D"/>
    <w:rsid w:val="005A2BF0"/>
    <w:rsid w:val="005A2F9B"/>
    <w:rsid w:val="005A370A"/>
    <w:rsid w:val="005A44DD"/>
    <w:rsid w:val="005A619B"/>
    <w:rsid w:val="005A673A"/>
    <w:rsid w:val="005A7EF4"/>
    <w:rsid w:val="005B0769"/>
    <w:rsid w:val="005B34C2"/>
    <w:rsid w:val="005B4C0A"/>
    <w:rsid w:val="005B559B"/>
    <w:rsid w:val="005B5852"/>
    <w:rsid w:val="005B66DB"/>
    <w:rsid w:val="005C037E"/>
    <w:rsid w:val="005C05F1"/>
    <w:rsid w:val="005C0AAD"/>
    <w:rsid w:val="005C2A12"/>
    <w:rsid w:val="005C3553"/>
    <w:rsid w:val="005C3C57"/>
    <w:rsid w:val="005C4A19"/>
    <w:rsid w:val="005C5CF6"/>
    <w:rsid w:val="005C5E75"/>
    <w:rsid w:val="005D038D"/>
    <w:rsid w:val="005D066B"/>
    <w:rsid w:val="005D0EBF"/>
    <w:rsid w:val="005D2C8B"/>
    <w:rsid w:val="005D37CE"/>
    <w:rsid w:val="005D47A6"/>
    <w:rsid w:val="005D4F57"/>
    <w:rsid w:val="005D72B3"/>
    <w:rsid w:val="005E116B"/>
    <w:rsid w:val="005E35E6"/>
    <w:rsid w:val="005E3919"/>
    <w:rsid w:val="005E3C0A"/>
    <w:rsid w:val="005E432F"/>
    <w:rsid w:val="005E45D3"/>
    <w:rsid w:val="005E52A3"/>
    <w:rsid w:val="005E5F93"/>
    <w:rsid w:val="005E6A4D"/>
    <w:rsid w:val="005E6EB0"/>
    <w:rsid w:val="005F04B2"/>
    <w:rsid w:val="005F47E9"/>
    <w:rsid w:val="00600DBE"/>
    <w:rsid w:val="00601CEB"/>
    <w:rsid w:val="0060234C"/>
    <w:rsid w:val="00605512"/>
    <w:rsid w:val="00605537"/>
    <w:rsid w:val="00605FD0"/>
    <w:rsid w:val="00607BC9"/>
    <w:rsid w:val="00607E34"/>
    <w:rsid w:val="00613688"/>
    <w:rsid w:val="00615262"/>
    <w:rsid w:val="006171F4"/>
    <w:rsid w:val="00617D93"/>
    <w:rsid w:val="0062025E"/>
    <w:rsid w:val="006210DD"/>
    <w:rsid w:val="00621386"/>
    <w:rsid w:val="00621D62"/>
    <w:rsid w:val="006233C8"/>
    <w:rsid w:val="006274A6"/>
    <w:rsid w:val="00627CE0"/>
    <w:rsid w:val="0064056E"/>
    <w:rsid w:val="00641B6C"/>
    <w:rsid w:val="006429E0"/>
    <w:rsid w:val="00643C10"/>
    <w:rsid w:val="00646D57"/>
    <w:rsid w:val="006472A7"/>
    <w:rsid w:val="0065006B"/>
    <w:rsid w:val="0065012B"/>
    <w:rsid w:val="006504CE"/>
    <w:rsid w:val="00650E09"/>
    <w:rsid w:val="00651E77"/>
    <w:rsid w:val="00653178"/>
    <w:rsid w:val="0065717A"/>
    <w:rsid w:val="00660678"/>
    <w:rsid w:val="00663D2D"/>
    <w:rsid w:val="006661E2"/>
    <w:rsid w:val="00666BF3"/>
    <w:rsid w:val="006673FE"/>
    <w:rsid w:val="00671E6F"/>
    <w:rsid w:val="006747CD"/>
    <w:rsid w:val="006749D2"/>
    <w:rsid w:val="00675F20"/>
    <w:rsid w:val="00676AD2"/>
    <w:rsid w:val="00680007"/>
    <w:rsid w:val="0068036B"/>
    <w:rsid w:val="00680B55"/>
    <w:rsid w:val="00681520"/>
    <w:rsid w:val="00682A99"/>
    <w:rsid w:val="00682F83"/>
    <w:rsid w:val="006832E9"/>
    <w:rsid w:val="00683CBB"/>
    <w:rsid w:val="00686BE8"/>
    <w:rsid w:val="00690392"/>
    <w:rsid w:val="00691A1B"/>
    <w:rsid w:val="00692567"/>
    <w:rsid w:val="00692C71"/>
    <w:rsid w:val="0069439D"/>
    <w:rsid w:val="00694C92"/>
    <w:rsid w:val="00695B12"/>
    <w:rsid w:val="00696717"/>
    <w:rsid w:val="00696830"/>
    <w:rsid w:val="00696A81"/>
    <w:rsid w:val="006A110D"/>
    <w:rsid w:val="006A13E6"/>
    <w:rsid w:val="006A1E6C"/>
    <w:rsid w:val="006A21C6"/>
    <w:rsid w:val="006A501E"/>
    <w:rsid w:val="006A503B"/>
    <w:rsid w:val="006A7AAF"/>
    <w:rsid w:val="006A7D25"/>
    <w:rsid w:val="006B28E9"/>
    <w:rsid w:val="006C45B5"/>
    <w:rsid w:val="006D3050"/>
    <w:rsid w:val="006D35A2"/>
    <w:rsid w:val="006D35F5"/>
    <w:rsid w:val="006D3660"/>
    <w:rsid w:val="006D51BC"/>
    <w:rsid w:val="006D68B8"/>
    <w:rsid w:val="006D7F3E"/>
    <w:rsid w:val="006E0319"/>
    <w:rsid w:val="006E08F1"/>
    <w:rsid w:val="006E3CF7"/>
    <w:rsid w:val="006E5371"/>
    <w:rsid w:val="006E76CE"/>
    <w:rsid w:val="006F29A7"/>
    <w:rsid w:val="006F5262"/>
    <w:rsid w:val="006F5E15"/>
    <w:rsid w:val="006F65C0"/>
    <w:rsid w:val="0070099B"/>
    <w:rsid w:val="00701B00"/>
    <w:rsid w:val="007101C7"/>
    <w:rsid w:val="007105E1"/>
    <w:rsid w:val="00711446"/>
    <w:rsid w:val="00711A1D"/>
    <w:rsid w:val="007124FA"/>
    <w:rsid w:val="00713012"/>
    <w:rsid w:val="007240A3"/>
    <w:rsid w:val="00726094"/>
    <w:rsid w:val="00726847"/>
    <w:rsid w:val="007341DB"/>
    <w:rsid w:val="0073478C"/>
    <w:rsid w:val="00734B43"/>
    <w:rsid w:val="00734D08"/>
    <w:rsid w:val="007356CF"/>
    <w:rsid w:val="00735ABA"/>
    <w:rsid w:val="00737C02"/>
    <w:rsid w:val="00740C15"/>
    <w:rsid w:val="00741031"/>
    <w:rsid w:val="00743A19"/>
    <w:rsid w:val="0074670F"/>
    <w:rsid w:val="00754439"/>
    <w:rsid w:val="007550DC"/>
    <w:rsid w:val="00755856"/>
    <w:rsid w:val="00755D04"/>
    <w:rsid w:val="00757620"/>
    <w:rsid w:val="00757DDF"/>
    <w:rsid w:val="00760174"/>
    <w:rsid w:val="00761317"/>
    <w:rsid w:val="0076158C"/>
    <w:rsid w:val="00763DB6"/>
    <w:rsid w:val="00766202"/>
    <w:rsid w:val="00766C7C"/>
    <w:rsid w:val="00767842"/>
    <w:rsid w:val="00770A96"/>
    <w:rsid w:val="007719D7"/>
    <w:rsid w:val="00773D3A"/>
    <w:rsid w:val="00775C7F"/>
    <w:rsid w:val="007761B9"/>
    <w:rsid w:val="00777A23"/>
    <w:rsid w:val="00782829"/>
    <w:rsid w:val="0078289B"/>
    <w:rsid w:val="007849E4"/>
    <w:rsid w:val="00785FFF"/>
    <w:rsid w:val="00791C03"/>
    <w:rsid w:val="007935A1"/>
    <w:rsid w:val="007938E8"/>
    <w:rsid w:val="00794E53"/>
    <w:rsid w:val="00797221"/>
    <w:rsid w:val="00797B22"/>
    <w:rsid w:val="00797CD1"/>
    <w:rsid w:val="007A66F4"/>
    <w:rsid w:val="007B3571"/>
    <w:rsid w:val="007B4BC9"/>
    <w:rsid w:val="007B614D"/>
    <w:rsid w:val="007C15E6"/>
    <w:rsid w:val="007C1D3C"/>
    <w:rsid w:val="007C43CE"/>
    <w:rsid w:val="007C65A9"/>
    <w:rsid w:val="007C6FA9"/>
    <w:rsid w:val="007D0B2D"/>
    <w:rsid w:val="007D1FC0"/>
    <w:rsid w:val="007D6627"/>
    <w:rsid w:val="007E0747"/>
    <w:rsid w:val="007E180F"/>
    <w:rsid w:val="007E1902"/>
    <w:rsid w:val="007E3F56"/>
    <w:rsid w:val="007E402F"/>
    <w:rsid w:val="007E4A32"/>
    <w:rsid w:val="007E4CC7"/>
    <w:rsid w:val="007E6855"/>
    <w:rsid w:val="007E779A"/>
    <w:rsid w:val="007F1D2C"/>
    <w:rsid w:val="007F1EDB"/>
    <w:rsid w:val="007F2A3B"/>
    <w:rsid w:val="007F3EBE"/>
    <w:rsid w:val="007F56B4"/>
    <w:rsid w:val="007F58A5"/>
    <w:rsid w:val="00800B9D"/>
    <w:rsid w:val="00800F57"/>
    <w:rsid w:val="00802108"/>
    <w:rsid w:val="008041A6"/>
    <w:rsid w:val="00804F06"/>
    <w:rsid w:val="00806207"/>
    <w:rsid w:val="008068FC"/>
    <w:rsid w:val="008077EA"/>
    <w:rsid w:val="00812DCB"/>
    <w:rsid w:val="0081442C"/>
    <w:rsid w:val="00817DDF"/>
    <w:rsid w:val="0082199A"/>
    <w:rsid w:val="00822502"/>
    <w:rsid w:val="00822CB1"/>
    <w:rsid w:val="00823A11"/>
    <w:rsid w:val="008243C7"/>
    <w:rsid w:val="008252DB"/>
    <w:rsid w:val="008257CE"/>
    <w:rsid w:val="00825B2F"/>
    <w:rsid w:val="00833C80"/>
    <w:rsid w:val="00835C15"/>
    <w:rsid w:val="0083611B"/>
    <w:rsid w:val="0083673D"/>
    <w:rsid w:val="0083694E"/>
    <w:rsid w:val="00845C69"/>
    <w:rsid w:val="0084786D"/>
    <w:rsid w:val="00852E8D"/>
    <w:rsid w:val="00853C03"/>
    <w:rsid w:val="00855EE4"/>
    <w:rsid w:val="00856741"/>
    <w:rsid w:val="00856F67"/>
    <w:rsid w:val="00857656"/>
    <w:rsid w:val="00866699"/>
    <w:rsid w:val="00867508"/>
    <w:rsid w:val="00867532"/>
    <w:rsid w:val="00870C7E"/>
    <w:rsid w:val="00874D47"/>
    <w:rsid w:val="0088081B"/>
    <w:rsid w:val="0088240F"/>
    <w:rsid w:val="00883553"/>
    <w:rsid w:val="008842CE"/>
    <w:rsid w:val="00884361"/>
    <w:rsid w:val="008854EE"/>
    <w:rsid w:val="00886ADA"/>
    <w:rsid w:val="00887259"/>
    <w:rsid w:val="00887E35"/>
    <w:rsid w:val="008916D3"/>
    <w:rsid w:val="00891784"/>
    <w:rsid w:val="0089229D"/>
    <w:rsid w:val="00893BFC"/>
    <w:rsid w:val="00894C93"/>
    <w:rsid w:val="008A3091"/>
    <w:rsid w:val="008A3A79"/>
    <w:rsid w:val="008B0846"/>
    <w:rsid w:val="008B2FCB"/>
    <w:rsid w:val="008B4600"/>
    <w:rsid w:val="008B70A7"/>
    <w:rsid w:val="008C2E1C"/>
    <w:rsid w:val="008C35BA"/>
    <w:rsid w:val="008C3971"/>
    <w:rsid w:val="008C6989"/>
    <w:rsid w:val="008C7477"/>
    <w:rsid w:val="008D32BA"/>
    <w:rsid w:val="008E3F68"/>
    <w:rsid w:val="008E4E12"/>
    <w:rsid w:val="008E6A24"/>
    <w:rsid w:val="008F0427"/>
    <w:rsid w:val="00901776"/>
    <w:rsid w:val="00902B5C"/>
    <w:rsid w:val="00906949"/>
    <w:rsid w:val="00906B30"/>
    <w:rsid w:val="009076DF"/>
    <w:rsid w:val="00907CFD"/>
    <w:rsid w:val="00907FC5"/>
    <w:rsid w:val="009103E2"/>
    <w:rsid w:val="009111A1"/>
    <w:rsid w:val="00912989"/>
    <w:rsid w:val="00913D89"/>
    <w:rsid w:val="0091534F"/>
    <w:rsid w:val="00915D58"/>
    <w:rsid w:val="009165A1"/>
    <w:rsid w:val="00917A8B"/>
    <w:rsid w:val="009213EA"/>
    <w:rsid w:val="0092185F"/>
    <w:rsid w:val="00921AE3"/>
    <w:rsid w:val="0092338B"/>
    <w:rsid w:val="009237C9"/>
    <w:rsid w:val="0092408F"/>
    <w:rsid w:val="00925B99"/>
    <w:rsid w:val="00925CE9"/>
    <w:rsid w:val="009269E3"/>
    <w:rsid w:val="00927568"/>
    <w:rsid w:val="0093351F"/>
    <w:rsid w:val="00933A04"/>
    <w:rsid w:val="00934707"/>
    <w:rsid w:val="00935E88"/>
    <w:rsid w:val="00945B43"/>
    <w:rsid w:val="00947B4D"/>
    <w:rsid w:val="009543ED"/>
    <w:rsid w:val="00955991"/>
    <w:rsid w:val="00960B30"/>
    <w:rsid w:val="0096491B"/>
    <w:rsid w:val="00966DD0"/>
    <w:rsid w:val="00967132"/>
    <w:rsid w:val="00970216"/>
    <w:rsid w:val="009720CD"/>
    <w:rsid w:val="009725AE"/>
    <w:rsid w:val="00973EB0"/>
    <w:rsid w:val="00975929"/>
    <w:rsid w:val="00975951"/>
    <w:rsid w:val="009760F5"/>
    <w:rsid w:val="009765A7"/>
    <w:rsid w:val="00980870"/>
    <w:rsid w:val="009817C6"/>
    <w:rsid w:val="00981D69"/>
    <w:rsid w:val="00983963"/>
    <w:rsid w:val="00985E79"/>
    <w:rsid w:val="0098659D"/>
    <w:rsid w:val="00994746"/>
    <w:rsid w:val="0099520E"/>
    <w:rsid w:val="00995F22"/>
    <w:rsid w:val="00996A48"/>
    <w:rsid w:val="009A2A7D"/>
    <w:rsid w:val="009A2E05"/>
    <w:rsid w:val="009A58B9"/>
    <w:rsid w:val="009A6BBA"/>
    <w:rsid w:val="009B1F42"/>
    <w:rsid w:val="009B20C5"/>
    <w:rsid w:val="009B31C1"/>
    <w:rsid w:val="009B39B5"/>
    <w:rsid w:val="009B3EE0"/>
    <w:rsid w:val="009B66D5"/>
    <w:rsid w:val="009C21D9"/>
    <w:rsid w:val="009C2600"/>
    <w:rsid w:val="009C45FB"/>
    <w:rsid w:val="009C4EB6"/>
    <w:rsid w:val="009C5DB8"/>
    <w:rsid w:val="009C682A"/>
    <w:rsid w:val="009D0304"/>
    <w:rsid w:val="009D156F"/>
    <w:rsid w:val="009D24A8"/>
    <w:rsid w:val="009D4A65"/>
    <w:rsid w:val="009D6117"/>
    <w:rsid w:val="009D6ECA"/>
    <w:rsid w:val="009E16FE"/>
    <w:rsid w:val="009E237F"/>
    <w:rsid w:val="009E271F"/>
    <w:rsid w:val="009E352A"/>
    <w:rsid w:val="009E614D"/>
    <w:rsid w:val="009E644A"/>
    <w:rsid w:val="009F1611"/>
    <w:rsid w:val="009F434D"/>
    <w:rsid w:val="009F7FD6"/>
    <w:rsid w:val="00A006D6"/>
    <w:rsid w:val="00A017B7"/>
    <w:rsid w:val="00A03B1A"/>
    <w:rsid w:val="00A106F1"/>
    <w:rsid w:val="00A11576"/>
    <w:rsid w:val="00A11753"/>
    <w:rsid w:val="00A125FC"/>
    <w:rsid w:val="00A12B50"/>
    <w:rsid w:val="00A14DB4"/>
    <w:rsid w:val="00A14FD8"/>
    <w:rsid w:val="00A16158"/>
    <w:rsid w:val="00A163AB"/>
    <w:rsid w:val="00A164CF"/>
    <w:rsid w:val="00A2043E"/>
    <w:rsid w:val="00A238FC"/>
    <w:rsid w:val="00A2478C"/>
    <w:rsid w:val="00A24FE1"/>
    <w:rsid w:val="00A261AD"/>
    <w:rsid w:val="00A3208B"/>
    <w:rsid w:val="00A3325D"/>
    <w:rsid w:val="00A3440A"/>
    <w:rsid w:val="00A347E1"/>
    <w:rsid w:val="00A35CD7"/>
    <w:rsid w:val="00A36059"/>
    <w:rsid w:val="00A36EA7"/>
    <w:rsid w:val="00A37C5A"/>
    <w:rsid w:val="00A40B3E"/>
    <w:rsid w:val="00A40E86"/>
    <w:rsid w:val="00A41892"/>
    <w:rsid w:val="00A46308"/>
    <w:rsid w:val="00A469A1"/>
    <w:rsid w:val="00A46FDF"/>
    <w:rsid w:val="00A520DD"/>
    <w:rsid w:val="00A52431"/>
    <w:rsid w:val="00A5468A"/>
    <w:rsid w:val="00A575AA"/>
    <w:rsid w:val="00A60296"/>
    <w:rsid w:val="00A61531"/>
    <w:rsid w:val="00A652F9"/>
    <w:rsid w:val="00A65C4F"/>
    <w:rsid w:val="00A669DF"/>
    <w:rsid w:val="00A675DD"/>
    <w:rsid w:val="00A67D68"/>
    <w:rsid w:val="00A718AA"/>
    <w:rsid w:val="00A775A5"/>
    <w:rsid w:val="00A803A8"/>
    <w:rsid w:val="00A82CD9"/>
    <w:rsid w:val="00A86254"/>
    <w:rsid w:val="00A914D7"/>
    <w:rsid w:val="00A916CC"/>
    <w:rsid w:val="00A93DE3"/>
    <w:rsid w:val="00A944AC"/>
    <w:rsid w:val="00A9723E"/>
    <w:rsid w:val="00AA0E3B"/>
    <w:rsid w:val="00AA2766"/>
    <w:rsid w:val="00AA4ED2"/>
    <w:rsid w:val="00AB1851"/>
    <w:rsid w:val="00AB1E3C"/>
    <w:rsid w:val="00AB346C"/>
    <w:rsid w:val="00AB4E87"/>
    <w:rsid w:val="00AC0973"/>
    <w:rsid w:val="00AC1BFE"/>
    <w:rsid w:val="00AC235D"/>
    <w:rsid w:val="00AC4159"/>
    <w:rsid w:val="00AC4CC5"/>
    <w:rsid w:val="00AC6230"/>
    <w:rsid w:val="00AC686A"/>
    <w:rsid w:val="00AC6A6E"/>
    <w:rsid w:val="00AD1467"/>
    <w:rsid w:val="00AD20B1"/>
    <w:rsid w:val="00AD5EF1"/>
    <w:rsid w:val="00AD5FCC"/>
    <w:rsid w:val="00AE0717"/>
    <w:rsid w:val="00AE1648"/>
    <w:rsid w:val="00AE1BD6"/>
    <w:rsid w:val="00AE206F"/>
    <w:rsid w:val="00AE6349"/>
    <w:rsid w:val="00AE72E7"/>
    <w:rsid w:val="00AF164F"/>
    <w:rsid w:val="00AF1651"/>
    <w:rsid w:val="00AF23F8"/>
    <w:rsid w:val="00AF6903"/>
    <w:rsid w:val="00AF6AA0"/>
    <w:rsid w:val="00AF7DDD"/>
    <w:rsid w:val="00B00A9B"/>
    <w:rsid w:val="00B015AC"/>
    <w:rsid w:val="00B01EF4"/>
    <w:rsid w:val="00B020FF"/>
    <w:rsid w:val="00B032A4"/>
    <w:rsid w:val="00B040A2"/>
    <w:rsid w:val="00B04E78"/>
    <w:rsid w:val="00B04E87"/>
    <w:rsid w:val="00B053C9"/>
    <w:rsid w:val="00B0653D"/>
    <w:rsid w:val="00B10E6C"/>
    <w:rsid w:val="00B10E8D"/>
    <w:rsid w:val="00B16B6E"/>
    <w:rsid w:val="00B2258F"/>
    <w:rsid w:val="00B229A1"/>
    <w:rsid w:val="00B25B8C"/>
    <w:rsid w:val="00B25DC6"/>
    <w:rsid w:val="00B26D53"/>
    <w:rsid w:val="00B309D1"/>
    <w:rsid w:val="00B31A01"/>
    <w:rsid w:val="00B337E6"/>
    <w:rsid w:val="00B33FD7"/>
    <w:rsid w:val="00B35AE5"/>
    <w:rsid w:val="00B36F8C"/>
    <w:rsid w:val="00B3796F"/>
    <w:rsid w:val="00B403A9"/>
    <w:rsid w:val="00B403E3"/>
    <w:rsid w:val="00B40F96"/>
    <w:rsid w:val="00B416DC"/>
    <w:rsid w:val="00B41CB1"/>
    <w:rsid w:val="00B43D49"/>
    <w:rsid w:val="00B43E5B"/>
    <w:rsid w:val="00B44B59"/>
    <w:rsid w:val="00B45C96"/>
    <w:rsid w:val="00B46784"/>
    <w:rsid w:val="00B4738D"/>
    <w:rsid w:val="00B503B6"/>
    <w:rsid w:val="00B510D6"/>
    <w:rsid w:val="00B51106"/>
    <w:rsid w:val="00B5154E"/>
    <w:rsid w:val="00B54E71"/>
    <w:rsid w:val="00B6081F"/>
    <w:rsid w:val="00B60C87"/>
    <w:rsid w:val="00B62035"/>
    <w:rsid w:val="00B62AC3"/>
    <w:rsid w:val="00B6520C"/>
    <w:rsid w:val="00B666A6"/>
    <w:rsid w:val="00B66A73"/>
    <w:rsid w:val="00B73113"/>
    <w:rsid w:val="00B775E7"/>
    <w:rsid w:val="00B809BD"/>
    <w:rsid w:val="00B80F83"/>
    <w:rsid w:val="00B81707"/>
    <w:rsid w:val="00B844AE"/>
    <w:rsid w:val="00B9203E"/>
    <w:rsid w:val="00B93F80"/>
    <w:rsid w:val="00B95BCD"/>
    <w:rsid w:val="00B96345"/>
    <w:rsid w:val="00B9796C"/>
    <w:rsid w:val="00B97DF8"/>
    <w:rsid w:val="00BA1CF3"/>
    <w:rsid w:val="00BA2260"/>
    <w:rsid w:val="00BA37E7"/>
    <w:rsid w:val="00BA44FF"/>
    <w:rsid w:val="00BA4EA4"/>
    <w:rsid w:val="00BA4F25"/>
    <w:rsid w:val="00BA549D"/>
    <w:rsid w:val="00BA64E5"/>
    <w:rsid w:val="00BA6B86"/>
    <w:rsid w:val="00BB08D5"/>
    <w:rsid w:val="00BB20DC"/>
    <w:rsid w:val="00BB29FD"/>
    <w:rsid w:val="00BB65F3"/>
    <w:rsid w:val="00BB67A4"/>
    <w:rsid w:val="00BB7CA7"/>
    <w:rsid w:val="00BC1F97"/>
    <w:rsid w:val="00BC3A6E"/>
    <w:rsid w:val="00BC61F2"/>
    <w:rsid w:val="00BD0CF8"/>
    <w:rsid w:val="00BD16A1"/>
    <w:rsid w:val="00BD6D64"/>
    <w:rsid w:val="00BE0010"/>
    <w:rsid w:val="00BE1603"/>
    <w:rsid w:val="00BE21E4"/>
    <w:rsid w:val="00BE2880"/>
    <w:rsid w:val="00BE2DC5"/>
    <w:rsid w:val="00BE3C26"/>
    <w:rsid w:val="00BE4BAE"/>
    <w:rsid w:val="00BE6920"/>
    <w:rsid w:val="00BE6D1E"/>
    <w:rsid w:val="00BF3F8B"/>
    <w:rsid w:val="00BF5FEF"/>
    <w:rsid w:val="00C005DE"/>
    <w:rsid w:val="00C02596"/>
    <w:rsid w:val="00C029DA"/>
    <w:rsid w:val="00C0410B"/>
    <w:rsid w:val="00C04AB4"/>
    <w:rsid w:val="00C07497"/>
    <w:rsid w:val="00C1081B"/>
    <w:rsid w:val="00C11EEA"/>
    <w:rsid w:val="00C12F78"/>
    <w:rsid w:val="00C157B5"/>
    <w:rsid w:val="00C15882"/>
    <w:rsid w:val="00C1750B"/>
    <w:rsid w:val="00C213D7"/>
    <w:rsid w:val="00C22891"/>
    <w:rsid w:val="00C237F6"/>
    <w:rsid w:val="00C23D8F"/>
    <w:rsid w:val="00C24CF5"/>
    <w:rsid w:val="00C25918"/>
    <w:rsid w:val="00C262A8"/>
    <w:rsid w:val="00C2665D"/>
    <w:rsid w:val="00C27C47"/>
    <w:rsid w:val="00C328BC"/>
    <w:rsid w:val="00C33C01"/>
    <w:rsid w:val="00C36671"/>
    <w:rsid w:val="00C37720"/>
    <w:rsid w:val="00C37ADA"/>
    <w:rsid w:val="00C37CF2"/>
    <w:rsid w:val="00C4102A"/>
    <w:rsid w:val="00C41270"/>
    <w:rsid w:val="00C42461"/>
    <w:rsid w:val="00C42CA0"/>
    <w:rsid w:val="00C43679"/>
    <w:rsid w:val="00C43950"/>
    <w:rsid w:val="00C46DE6"/>
    <w:rsid w:val="00C47175"/>
    <w:rsid w:val="00C50C5E"/>
    <w:rsid w:val="00C50C98"/>
    <w:rsid w:val="00C5271B"/>
    <w:rsid w:val="00C53ED4"/>
    <w:rsid w:val="00C562E6"/>
    <w:rsid w:val="00C64D63"/>
    <w:rsid w:val="00C66511"/>
    <w:rsid w:val="00C67A3D"/>
    <w:rsid w:val="00C67F6D"/>
    <w:rsid w:val="00C70E29"/>
    <w:rsid w:val="00C7319A"/>
    <w:rsid w:val="00C741DA"/>
    <w:rsid w:val="00C75CD0"/>
    <w:rsid w:val="00C768C7"/>
    <w:rsid w:val="00C77C82"/>
    <w:rsid w:val="00C808C2"/>
    <w:rsid w:val="00C8353A"/>
    <w:rsid w:val="00C83CB0"/>
    <w:rsid w:val="00C841AC"/>
    <w:rsid w:val="00C855D1"/>
    <w:rsid w:val="00C8748A"/>
    <w:rsid w:val="00C9025E"/>
    <w:rsid w:val="00C9047E"/>
    <w:rsid w:val="00C93D88"/>
    <w:rsid w:val="00C963CF"/>
    <w:rsid w:val="00C96A46"/>
    <w:rsid w:val="00C96AD3"/>
    <w:rsid w:val="00C96F41"/>
    <w:rsid w:val="00CA17AE"/>
    <w:rsid w:val="00CA2018"/>
    <w:rsid w:val="00CA2793"/>
    <w:rsid w:val="00CA3C29"/>
    <w:rsid w:val="00CA4E21"/>
    <w:rsid w:val="00CA53E3"/>
    <w:rsid w:val="00CA58C3"/>
    <w:rsid w:val="00CA6332"/>
    <w:rsid w:val="00CA7A71"/>
    <w:rsid w:val="00CC61AD"/>
    <w:rsid w:val="00CC62CC"/>
    <w:rsid w:val="00CC74E4"/>
    <w:rsid w:val="00CD0BA6"/>
    <w:rsid w:val="00CD177E"/>
    <w:rsid w:val="00CD329D"/>
    <w:rsid w:val="00CD59A5"/>
    <w:rsid w:val="00CE14FE"/>
    <w:rsid w:val="00CE308F"/>
    <w:rsid w:val="00CE4480"/>
    <w:rsid w:val="00CF3E9B"/>
    <w:rsid w:val="00CF3FBE"/>
    <w:rsid w:val="00CF518A"/>
    <w:rsid w:val="00CF6733"/>
    <w:rsid w:val="00D03195"/>
    <w:rsid w:val="00D034AB"/>
    <w:rsid w:val="00D05C05"/>
    <w:rsid w:val="00D0667B"/>
    <w:rsid w:val="00D06ECF"/>
    <w:rsid w:val="00D07DDE"/>
    <w:rsid w:val="00D10001"/>
    <w:rsid w:val="00D10BAF"/>
    <w:rsid w:val="00D13D06"/>
    <w:rsid w:val="00D14A13"/>
    <w:rsid w:val="00D14DC5"/>
    <w:rsid w:val="00D15D20"/>
    <w:rsid w:val="00D161D8"/>
    <w:rsid w:val="00D20875"/>
    <w:rsid w:val="00D2110B"/>
    <w:rsid w:val="00D22DF0"/>
    <w:rsid w:val="00D231FF"/>
    <w:rsid w:val="00D245BA"/>
    <w:rsid w:val="00D266BF"/>
    <w:rsid w:val="00D26F8D"/>
    <w:rsid w:val="00D30C5D"/>
    <w:rsid w:val="00D31891"/>
    <w:rsid w:val="00D32B70"/>
    <w:rsid w:val="00D3376D"/>
    <w:rsid w:val="00D34351"/>
    <w:rsid w:val="00D35BCE"/>
    <w:rsid w:val="00D35E99"/>
    <w:rsid w:val="00D4022A"/>
    <w:rsid w:val="00D41CC7"/>
    <w:rsid w:val="00D41E08"/>
    <w:rsid w:val="00D4223C"/>
    <w:rsid w:val="00D42EEF"/>
    <w:rsid w:val="00D44F01"/>
    <w:rsid w:val="00D45109"/>
    <w:rsid w:val="00D50A83"/>
    <w:rsid w:val="00D5643D"/>
    <w:rsid w:val="00D5777B"/>
    <w:rsid w:val="00D60954"/>
    <w:rsid w:val="00D66269"/>
    <w:rsid w:val="00D7037B"/>
    <w:rsid w:val="00D7183B"/>
    <w:rsid w:val="00D727D0"/>
    <w:rsid w:val="00D74830"/>
    <w:rsid w:val="00D7689E"/>
    <w:rsid w:val="00D80578"/>
    <w:rsid w:val="00D83784"/>
    <w:rsid w:val="00D83B14"/>
    <w:rsid w:val="00D842C1"/>
    <w:rsid w:val="00D847C5"/>
    <w:rsid w:val="00D84863"/>
    <w:rsid w:val="00D84B45"/>
    <w:rsid w:val="00D85764"/>
    <w:rsid w:val="00D87025"/>
    <w:rsid w:val="00D94E4A"/>
    <w:rsid w:val="00D9677A"/>
    <w:rsid w:val="00D97E8C"/>
    <w:rsid w:val="00DA24B8"/>
    <w:rsid w:val="00DA416E"/>
    <w:rsid w:val="00DA64C5"/>
    <w:rsid w:val="00DA76EF"/>
    <w:rsid w:val="00DA7BE7"/>
    <w:rsid w:val="00DB3D06"/>
    <w:rsid w:val="00DB4F01"/>
    <w:rsid w:val="00DC0886"/>
    <w:rsid w:val="00DC0C7E"/>
    <w:rsid w:val="00DC3C4C"/>
    <w:rsid w:val="00DC57E2"/>
    <w:rsid w:val="00DD2818"/>
    <w:rsid w:val="00DD3F52"/>
    <w:rsid w:val="00DD4FB1"/>
    <w:rsid w:val="00DD55C9"/>
    <w:rsid w:val="00DD5669"/>
    <w:rsid w:val="00DD73CB"/>
    <w:rsid w:val="00DD767B"/>
    <w:rsid w:val="00DD76D7"/>
    <w:rsid w:val="00DE29EC"/>
    <w:rsid w:val="00DE34CF"/>
    <w:rsid w:val="00DE491D"/>
    <w:rsid w:val="00DE4DD1"/>
    <w:rsid w:val="00DE6DAD"/>
    <w:rsid w:val="00DF0566"/>
    <w:rsid w:val="00DF2333"/>
    <w:rsid w:val="00DF2886"/>
    <w:rsid w:val="00DF3FBB"/>
    <w:rsid w:val="00DF4AFF"/>
    <w:rsid w:val="00DF5C41"/>
    <w:rsid w:val="00DF6064"/>
    <w:rsid w:val="00E001B5"/>
    <w:rsid w:val="00E00EBD"/>
    <w:rsid w:val="00E01682"/>
    <w:rsid w:val="00E0384A"/>
    <w:rsid w:val="00E03BFB"/>
    <w:rsid w:val="00E055D2"/>
    <w:rsid w:val="00E069D4"/>
    <w:rsid w:val="00E07FD6"/>
    <w:rsid w:val="00E1006C"/>
    <w:rsid w:val="00E10E60"/>
    <w:rsid w:val="00E12254"/>
    <w:rsid w:val="00E122A2"/>
    <w:rsid w:val="00E12A79"/>
    <w:rsid w:val="00E139EB"/>
    <w:rsid w:val="00E148B4"/>
    <w:rsid w:val="00E21520"/>
    <w:rsid w:val="00E31A8E"/>
    <w:rsid w:val="00E353CE"/>
    <w:rsid w:val="00E36E51"/>
    <w:rsid w:val="00E40E92"/>
    <w:rsid w:val="00E4306E"/>
    <w:rsid w:val="00E45C8B"/>
    <w:rsid w:val="00E46C6B"/>
    <w:rsid w:val="00E5272A"/>
    <w:rsid w:val="00E53536"/>
    <w:rsid w:val="00E55E8C"/>
    <w:rsid w:val="00E60733"/>
    <w:rsid w:val="00E60B43"/>
    <w:rsid w:val="00E61742"/>
    <w:rsid w:val="00E63347"/>
    <w:rsid w:val="00E726FB"/>
    <w:rsid w:val="00E729BF"/>
    <w:rsid w:val="00E75BE5"/>
    <w:rsid w:val="00E7658D"/>
    <w:rsid w:val="00E80C80"/>
    <w:rsid w:val="00E8740A"/>
    <w:rsid w:val="00E90217"/>
    <w:rsid w:val="00E916BE"/>
    <w:rsid w:val="00E927B5"/>
    <w:rsid w:val="00E935EE"/>
    <w:rsid w:val="00E96037"/>
    <w:rsid w:val="00EA03DD"/>
    <w:rsid w:val="00EA194F"/>
    <w:rsid w:val="00EA4CDE"/>
    <w:rsid w:val="00EB069B"/>
    <w:rsid w:val="00EB0BC4"/>
    <w:rsid w:val="00EB191B"/>
    <w:rsid w:val="00EB1B43"/>
    <w:rsid w:val="00EB1C42"/>
    <w:rsid w:val="00EB28E1"/>
    <w:rsid w:val="00EB5886"/>
    <w:rsid w:val="00EB5ED0"/>
    <w:rsid w:val="00EC0387"/>
    <w:rsid w:val="00EC407A"/>
    <w:rsid w:val="00EC6B2B"/>
    <w:rsid w:val="00ED294D"/>
    <w:rsid w:val="00ED2F65"/>
    <w:rsid w:val="00ED41D8"/>
    <w:rsid w:val="00ED5DC0"/>
    <w:rsid w:val="00ED7036"/>
    <w:rsid w:val="00EE3211"/>
    <w:rsid w:val="00EE3A9E"/>
    <w:rsid w:val="00EE5140"/>
    <w:rsid w:val="00EE647F"/>
    <w:rsid w:val="00EE6A06"/>
    <w:rsid w:val="00EE6B1D"/>
    <w:rsid w:val="00EE6D0D"/>
    <w:rsid w:val="00EE7A49"/>
    <w:rsid w:val="00EF04E0"/>
    <w:rsid w:val="00EF091D"/>
    <w:rsid w:val="00EF0AE9"/>
    <w:rsid w:val="00EF25E6"/>
    <w:rsid w:val="00EF51DE"/>
    <w:rsid w:val="00EF5FEA"/>
    <w:rsid w:val="00EF6314"/>
    <w:rsid w:val="00F000ED"/>
    <w:rsid w:val="00F03B55"/>
    <w:rsid w:val="00F0554D"/>
    <w:rsid w:val="00F07351"/>
    <w:rsid w:val="00F07858"/>
    <w:rsid w:val="00F102E8"/>
    <w:rsid w:val="00F11809"/>
    <w:rsid w:val="00F12CFE"/>
    <w:rsid w:val="00F1720A"/>
    <w:rsid w:val="00F215F5"/>
    <w:rsid w:val="00F21A79"/>
    <w:rsid w:val="00F22079"/>
    <w:rsid w:val="00F2621F"/>
    <w:rsid w:val="00F26515"/>
    <w:rsid w:val="00F319F2"/>
    <w:rsid w:val="00F33EEE"/>
    <w:rsid w:val="00F352B6"/>
    <w:rsid w:val="00F36E21"/>
    <w:rsid w:val="00F37081"/>
    <w:rsid w:val="00F370BC"/>
    <w:rsid w:val="00F371C0"/>
    <w:rsid w:val="00F407B8"/>
    <w:rsid w:val="00F42764"/>
    <w:rsid w:val="00F42B33"/>
    <w:rsid w:val="00F45A99"/>
    <w:rsid w:val="00F476B9"/>
    <w:rsid w:val="00F509C5"/>
    <w:rsid w:val="00F5157F"/>
    <w:rsid w:val="00F5385A"/>
    <w:rsid w:val="00F53B9B"/>
    <w:rsid w:val="00F549D9"/>
    <w:rsid w:val="00F55635"/>
    <w:rsid w:val="00F5774D"/>
    <w:rsid w:val="00F60BDE"/>
    <w:rsid w:val="00F62E33"/>
    <w:rsid w:val="00F63632"/>
    <w:rsid w:val="00F71DB1"/>
    <w:rsid w:val="00F72466"/>
    <w:rsid w:val="00F748D5"/>
    <w:rsid w:val="00F765EF"/>
    <w:rsid w:val="00F77C7F"/>
    <w:rsid w:val="00F803EE"/>
    <w:rsid w:val="00F869CE"/>
    <w:rsid w:val="00F912FE"/>
    <w:rsid w:val="00F94D70"/>
    <w:rsid w:val="00F96393"/>
    <w:rsid w:val="00F96E6F"/>
    <w:rsid w:val="00F9798E"/>
    <w:rsid w:val="00FA003A"/>
    <w:rsid w:val="00FA2758"/>
    <w:rsid w:val="00FA3329"/>
    <w:rsid w:val="00FA41AE"/>
    <w:rsid w:val="00FA42F8"/>
    <w:rsid w:val="00FA7048"/>
    <w:rsid w:val="00FB0D59"/>
    <w:rsid w:val="00FB21A5"/>
    <w:rsid w:val="00FB69AD"/>
    <w:rsid w:val="00FC37F2"/>
    <w:rsid w:val="00FC4856"/>
    <w:rsid w:val="00FC4A94"/>
    <w:rsid w:val="00FC4E30"/>
    <w:rsid w:val="00FC6F2F"/>
    <w:rsid w:val="00FD02D3"/>
    <w:rsid w:val="00FD159A"/>
    <w:rsid w:val="00FD2A53"/>
    <w:rsid w:val="00FD2BC0"/>
    <w:rsid w:val="00FD4C5E"/>
    <w:rsid w:val="00FD6057"/>
    <w:rsid w:val="00FD69D7"/>
    <w:rsid w:val="00FE0508"/>
    <w:rsid w:val="00FE071A"/>
    <w:rsid w:val="00FE2E44"/>
    <w:rsid w:val="00FE3ABA"/>
    <w:rsid w:val="00FE4B15"/>
    <w:rsid w:val="00FE70AB"/>
    <w:rsid w:val="00FF158A"/>
    <w:rsid w:val="00FF1B80"/>
    <w:rsid w:val="00FF2F58"/>
    <w:rsid w:val="00FF399C"/>
    <w:rsid w:val="00FF4129"/>
    <w:rsid w:val="00FF581B"/>
    <w:rsid w:val="00FF6F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56CFD"/>
  <w14:defaultImageDpi w14:val="0"/>
  <w15:docId w15:val="{1DE019BE-2821-4D36-993A-EA962067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semiHidden="1" w:unhideWhenUsed="1"/>
    <w:lsdException w:name="caption" w:locked="1" w:semiHidden="1" w:uiPriority="0" w:unhideWhenUsed="1" w:qFormat="1"/>
    <w:lsdException w:name="footnote reference" w:semiHidden="1" w:unhideWhenUsed="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22" w:qFormat="1"/>
    <w:lsdException w:name="Emphasis" w:locked="1" w:uiPriority="0" w:qFormat="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E3F56"/>
    <w:rPr>
      <w:rFonts w:ascii="Arial" w:hAnsi="Arial"/>
      <w:sz w:val="16"/>
      <w:szCs w:val="22"/>
    </w:rPr>
  </w:style>
  <w:style w:type="paragraph" w:styleId="Nadpis1">
    <w:name w:val="heading 1"/>
    <w:basedOn w:val="Normlny"/>
    <w:next w:val="Normlny"/>
    <w:link w:val="Nadpis1Char"/>
    <w:uiPriority w:val="99"/>
    <w:qFormat/>
    <w:rsid w:val="00BB65F3"/>
    <w:pPr>
      <w:keepNext/>
      <w:spacing w:before="240" w:after="60"/>
      <w:outlineLvl w:val="0"/>
    </w:pPr>
    <w:rPr>
      <w:rFonts w:cs="Arial"/>
      <w:b/>
      <w:bCs/>
      <w:caps/>
      <w:kern w:val="32"/>
      <w:sz w:val="20"/>
      <w:szCs w:val="20"/>
    </w:rPr>
  </w:style>
  <w:style w:type="paragraph" w:styleId="Nadpis2">
    <w:name w:val="heading 2"/>
    <w:basedOn w:val="Normlny"/>
    <w:next w:val="Normlny"/>
    <w:link w:val="Nadpis2Char"/>
    <w:uiPriority w:val="99"/>
    <w:qFormat/>
    <w:rsid w:val="00BB65F3"/>
    <w:pPr>
      <w:keepNext/>
      <w:spacing w:before="240" w:after="60"/>
      <w:outlineLvl w:val="1"/>
    </w:pPr>
    <w:rPr>
      <w:rFonts w:cs="Arial"/>
      <w:b/>
      <w:bCs/>
      <w:iCs/>
      <w:sz w:val="20"/>
      <w:szCs w:val="28"/>
      <w:u w:val="single"/>
    </w:rPr>
  </w:style>
  <w:style w:type="paragraph" w:styleId="Nadpis3">
    <w:name w:val="heading 3"/>
    <w:basedOn w:val="Normlny"/>
    <w:next w:val="Normlny"/>
    <w:link w:val="Nadpis3Char"/>
    <w:uiPriority w:val="99"/>
    <w:qFormat/>
    <w:rsid w:val="00BB65F3"/>
    <w:pPr>
      <w:keepNext/>
      <w:spacing w:before="240" w:after="60"/>
      <w:outlineLvl w:val="2"/>
    </w:pPr>
    <w:rPr>
      <w:rFonts w:cs="Arial"/>
      <w:b/>
      <w:bCs/>
      <w:sz w:val="20"/>
      <w:szCs w:val="26"/>
    </w:rPr>
  </w:style>
  <w:style w:type="paragraph" w:styleId="Nadpis4">
    <w:name w:val="heading 4"/>
    <w:basedOn w:val="Normlny"/>
    <w:next w:val="Normlny"/>
    <w:link w:val="Nadpis4Char"/>
    <w:uiPriority w:val="99"/>
    <w:qFormat/>
    <w:rsid w:val="00B5154E"/>
    <w:pPr>
      <w:keepNext/>
      <w:spacing w:before="240" w:after="60"/>
      <w:outlineLvl w:val="3"/>
    </w:pPr>
    <w:rPr>
      <w:bCs/>
      <w:i/>
      <w:szCs w:val="28"/>
      <w:u w:val="single"/>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785FFF"/>
    <w:rPr>
      <w:rFonts w:ascii="Cambria" w:hAnsi="Cambria" w:cs="Times New Roman"/>
      <w:b/>
      <w:kern w:val="32"/>
      <w:sz w:val="32"/>
    </w:rPr>
  </w:style>
  <w:style w:type="character" w:customStyle="1" w:styleId="Nadpis2Char">
    <w:name w:val="Nadpis 2 Char"/>
    <w:basedOn w:val="Predvolenpsmoodseku"/>
    <w:link w:val="Nadpis2"/>
    <w:uiPriority w:val="99"/>
    <w:semiHidden/>
    <w:locked/>
    <w:rsid w:val="00785FFF"/>
    <w:rPr>
      <w:rFonts w:ascii="Cambria" w:hAnsi="Cambria" w:cs="Times New Roman"/>
      <w:b/>
      <w:i/>
      <w:sz w:val="28"/>
    </w:rPr>
  </w:style>
  <w:style w:type="character" w:customStyle="1" w:styleId="Nadpis3Char">
    <w:name w:val="Nadpis 3 Char"/>
    <w:basedOn w:val="Predvolenpsmoodseku"/>
    <w:link w:val="Nadpis3"/>
    <w:uiPriority w:val="99"/>
    <w:semiHidden/>
    <w:locked/>
    <w:rsid w:val="00785FFF"/>
    <w:rPr>
      <w:rFonts w:ascii="Cambria" w:hAnsi="Cambria" w:cs="Times New Roman"/>
      <w:b/>
      <w:sz w:val="26"/>
    </w:rPr>
  </w:style>
  <w:style w:type="character" w:customStyle="1" w:styleId="Nadpis4Char">
    <w:name w:val="Nadpis 4 Char"/>
    <w:basedOn w:val="Predvolenpsmoodseku"/>
    <w:link w:val="Nadpis4"/>
    <w:uiPriority w:val="99"/>
    <w:semiHidden/>
    <w:locked/>
    <w:rsid w:val="00785FFF"/>
    <w:rPr>
      <w:rFonts w:ascii="Calibri" w:hAnsi="Calibri" w:cs="Times New Roman"/>
      <w:b/>
      <w:sz w:val="28"/>
    </w:rPr>
  </w:style>
  <w:style w:type="paragraph" w:styleId="Hlavika">
    <w:name w:val="header"/>
    <w:basedOn w:val="Normlny"/>
    <w:link w:val="HlavikaChar"/>
    <w:uiPriority w:val="99"/>
    <w:rsid w:val="00BB65F3"/>
    <w:pPr>
      <w:tabs>
        <w:tab w:val="center" w:pos="4536"/>
        <w:tab w:val="right" w:pos="9072"/>
      </w:tabs>
    </w:pPr>
  </w:style>
  <w:style w:type="character" w:customStyle="1" w:styleId="HlavikaChar">
    <w:name w:val="Hlavička Char"/>
    <w:basedOn w:val="Predvolenpsmoodseku"/>
    <w:link w:val="Hlavika"/>
    <w:uiPriority w:val="99"/>
    <w:semiHidden/>
    <w:locked/>
    <w:rsid w:val="00785FFF"/>
    <w:rPr>
      <w:rFonts w:ascii="Arial" w:hAnsi="Arial" w:cs="Times New Roman"/>
      <w:sz w:val="16"/>
    </w:rPr>
  </w:style>
  <w:style w:type="paragraph" w:styleId="Pta">
    <w:name w:val="footer"/>
    <w:basedOn w:val="Normlny"/>
    <w:link w:val="PtaChar"/>
    <w:uiPriority w:val="99"/>
    <w:rsid w:val="00BB65F3"/>
    <w:pPr>
      <w:tabs>
        <w:tab w:val="center" w:pos="4536"/>
        <w:tab w:val="right" w:pos="9072"/>
      </w:tabs>
    </w:pPr>
  </w:style>
  <w:style w:type="character" w:customStyle="1" w:styleId="PtaChar">
    <w:name w:val="Päta Char"/>
    <w:basedOn w:val="Predvolenpsmoodseku"/>
    <w:link w:val="Pta"/>
    <w:uiPriority w:val="99"/>
    <w:semiHidden/>
    <w:locked/>
    <w:rsid w:val="00785FFF"/>
    <w:rPr>
      <w:rFonts w:ascii="Arial" w:hAnsi="Arial" w:cs="Times New Roman"/>
      <w:sz w:val="16"/>
    </w:rPr>
  </w:style>
  <w:style w:type="paragraph" w:styleId="Obsah1">
    <w:name w:val="toc 1"/>
    <w:basedOn w:val="Normlny"/>
    <w:next w:val="Normlny"/>
    <w:autoRedefine/>
    <w:uiPriority w:val="39"/>
    <w:rsid w:val="005B0769"/>
    <w:pPr>
      <w:tabs>
        <w:tab w:val="right" w:leader="dot" w:pos="8820"/>
      </w:tabs>
      <w:ind w:right="251"/>
    </w:pPr>
  </w:style>
  <w:style w:type="paragraph" w:styleId="Obsah2">
    <w:name w:val="toc 2"/>
    <w:basedOn w:val="Normlny"/>
    <w:next w:val="Normlny"/>
    <w:autoRedefine/>
    <w:uiPriority w:val="39"/>
    <w:rsid w:val="005B0769"/>
    <w:pPr>
      <w:tabs>
        <w:tab w:val="right" w:leader="dot" w:pos="8820"/>
      </w:tabs>
      <w:ind w:left="160"/>
    </w:pPr>
  </w:style>
  <w:style w:type="character" w:styleId="Hypertextovprepojenie">
    <w:name w:val="Hyperlink"/>
    <w:basedOn w:val="Predvolenpsmoodseku"/>
    <w:uiPriority w:val="99"/>
    <w:rsid w:val="005B0769"/>
    <w:rPr>
      <w:rFonts w:cs="Times New Roman"/>
      <w:color w:val="0000FF"/>
      <w:u w:val="single"/>
    </w:rPr>
  </w:style>
  <w:style w:type="paragraph" w:styleId="Textpoznmkypodiarou">
    <w:name w:val="footnote text"/>
    <w:basedOn w:val="Normlny"/>
    <w:link w:val="TextpoznmkypodiarouChar"/>
    <w:uiPriority w:val="99"/>
    <w:semiHidden/>
    <w:rsid w:val="000B7A4F"/>
    <w:rPr>
      <w:sz w:val="20"/>
      <w:szCs w:val="20"/>
    </w:rPr>
  </w:style>
  <w:style w:type="character" w:customStyle="1" w:styleId="TextpoznmkypodiarouChar">
    <w:name w:val="Text poznámky pod čiarou Char"/>
    <w:basedOn w:val="Predvolenpsmoodseku"/>
    <w:link w:val="Textpoznmkypodiarou"/>
    <w:uiPriority w:val="99"/>
    <w:semiHidden/>
    <w:locked/>
    <w:rsid w:val="00785FFF"/>
    <w:rPr>
      <w:rFonts w:ascii="Arial" w:hAnsi="Arial" w:cs="Times New Roman"/>
      <w:sz w:val="20"/>
    </w:rPr>
  </w:style>
  <w:style w:type="character" w:styleId="Odkaznapoznmkupodiarou">
    <w:name w:val="footnote reference"/>
    <w:basedOn w:val="Predvolenpsmoodseku"/>
    <w:uiPriority w:val="99"/>
    <w:semiHidden/>
    <w:rsid w:val="000B7A4F"/>
    <w:rPr>
      <w:rFonts w:cs="Times New Roman"/>
      <w:vertAlign w:val="superscript"/>
    </w:rPr>
  </w:style>
  <w:style w:type="paragraph" w:styleId="Obsah3">
    <w:name w:val="toc 3"/>
    <w:basedOn w:val="Normlny"/>
    <w:next w:val="Normlny"/>
    <w:autoRedefine/>
    <w:uiPriority w:val="39"/>
    <w:rsid w:val="009165A1"/>
    <w:pPr>
      <w:tabs>
        <w:tab w:val="right" w:leader="dot" w:pos="8820"/>
      </w:tabs>
      <w:ind w:left="320"/>
    </w:pPr>
  </w:style>
  <w:style w:type="paragraph" w:styleId="Textbubliny">
    <w:name w:val="Balloon Text"/>
    <w:basedOn w:val="Normlny"/>
    <w:link w:val="TextbublinyChar"/>
    <w:uiPriority w:val="99"/>
    <w:semiHidden/>
    <w:rsid w:val="0088081B"/>
    <w:rPr>
      <w:rFonts w:ascii="Tahoma" w:hAnsi="Tahoma" w:cs="Tahoma"/>
      <w:szCs w:val="16"/>
    </w:rPr>
  </w:style>
  <w:style w:type="character" w:customStyle="1" w:styleId="TextbublinyChar">
    <w:name w:val="Text bubliny Char"/>
    <w:basedOn w:val="Predvolenpsmoodseku"/>
    <w:link w:val="Textbubliny"/>
    <w:uiPriority w:val="99"/>
    <w:semiHidden/>
    <w:locked/>
    <w:rsid w:val="00785FFF"/>
    <w:rPr>
      <w:rFonts w:ascii="Tahoma" w:hAnsi="Tahoma" w:cs="Times New Roman"/>
      <w:sz w:val="16"/>
    </w:rPr>
  </w:style>
  <w:style w:type="paragraph" w:customStyle="1" w:styleId="CharChar1CharCharCharChar">
    <w:name w:val="Char Char1 Char Char Char Char"/>
    <w:basedOn w:val="Normlny"/>
    <w:uiPriority w:val="99"/>
    <w:rsid w:val="00CE4480"/>
    <w:pPr>
      <w:spacing w:after="160" w:line="240" w:lineRule="exact"/>
    </w:pPr>
    <w:rPr>
      <w:rFonts w:ascii="Tahoma" w:hAnsi="Tahoma" w:cs="Tahoma"/>
      <w:sz w:val="20"/>
      <w:szCs w:val="20"/>
      <w:lang w:eastAsia="en-US"/>
    </w:rPr>
  </w:style>
  <w:style w:type="paragraph" w:customStyle="1" w:styleId="AODefHead">
    <w:name w:val="AODefHead"/>
    <w:basedOn w:val="Normlny"/>
    <w:next w:val="AODefPara"/>
    <w:uiPriority w:val="99"/>
    <w:rsid w:val="00A40B3E"/>
    <w:pPr>
      <w:numPr>
        <w:numId w:val="1"/>
      </w:numPr>
      <w:spacing w:before="240" w:line="260" w:lineRule="atLeast"/>
      <w:jc w:val="both"/>
      <w:outlineLvl w:val="5"/>
    </w:pPr>
    <w:rPr>
      <w:rFonts w:ascii="Times New Roman" w:eastAsia="SimSun" w:hAnsi="Times New Roman"/>
      <w:sz w:val="22"/>
      <w:lang w:eastAsia="en-US"/>
    </w:rPr>
  </w:style>
  <w:style w:type="paragraph" w:customStyle="1" w:styleId="AODefPara">
    <w:name w:val="AODefPara"/>
    <w:basedOn w:val="AODefHead"/>
    <w:uiPriority w:val="99"/>
    <w:rsid w:val="00A40B3E"/>
    <w:pPr>
      <w:numPr>
        <w:ilvl w:val="1"/>
      </w:numPr>
      <w:outlineLvl w:val="6"/>
    </w:pPr>
  </w:style>
  <w:style w:type="character" w:styleId="Odkaznakomentr">
    <w:name w:val="annotation reference"/>
    <w:basedOn w:val="Predvolenpsmoodseku"/>
    <w:uiPriority w:val="99"/>
    <w:rsid w:val="00A775A5"/>
    <w:rPr>
      <w:rFonts w:cs="Times New Roman"/>
      <w:sz w:val="16"/>
    </w:rPr>
  </w:style>
  <w:style w:type="paragraph" w:styleId="Zoznamobrzkov">
    <w:name w:val="table of figures"/>
    <w:basedOn w:val="Normlny"/>
    <w:next w:val="Normlny"/>
    <w:uiPriority w:val="99"/>
    <w:semiHidden/>
    <w:rsid w:val="00B3796F"/>
    <w:pPr>
      <w:ind w:left="320" w:hanging="320"/>
    </w:pPr>
  </w:style>
  <w:style w:type="paragraph" w:styleId="Textkomentra">
    <w:name w:val="annotation text"/>
    <w:basedOn w:val="Normlny"/>
    <w:link w:val="TextkomentraChar"/>
    <w:uiPriority w:val="99"/>
    <w:rsid w:val="00A775A5"/>
    <w:rPr>
      <w:sz w:val="20"/>
      <w:szCs w:val="20"/>
    </w:rPr>
  </w:style>
  <w:style w:type="character" w:customStyle="1" w:styleId="TextkomentraChar">
    <w:name w:val="Text komentára Char"/>
    <w:basedOn w:val="Predvolenpsmoodseku"/>
    <w:link w:val="Textkomentra"/>
    <w:uiPriority w:val="99"/>
    <w:locked/>
    <w:rsid w:val="00B54E71"/>
    <w:rPr>
      <w:rFonts w:ascii="Arial" w:hAnsi="Arial" w:cs="Times New Roman"/>
      <w:lang w:val="sk-SK" w:eastAsia="sk-SK"/>
    </w:rPr>
  </w:style>
  <w:style w:type="character" w:styleId="PouitHypertextovPrepojenie">
    <w:name w:val="FollowedHyperlink"/>
    <w:basedOn w:val="Predvolenpsmoodseku"/>
    <w:uiPriority w:val="99"/>
    <w:rsid w:val="003D797C"/>
    <w:rPr>
      <w:rFonts w:cs="Times New Roman"/>
      <w:color w:val="800080"/>
      <w:u w:val="single"/>
    </w:rPr>
  </w:style>
  <w:style w:type="paragraph" w:styleId="Predmetkomentra">
    <w:name w:val="annotation subject"/>
    <w:basedOn w:val="Textkomentra"/>
    <w:next w:val="Textkomentra"/>
    <w:link w:val="PredmetkomentraChar"/>
    <w:uiPriority w:val="99"/>
    <w:semiHidden/>
    <w:rsid w:val="00A775A5"/>
    <w:rPr>
      <w:b/>
      <w:bCs/>
    </w:rPr>
  </w:style>
  <w:style w:type="character" w:customStyle="1" w:styleId="PredmetkomentraChar">
    <w:name w:val="Predmet komentára Char"/>
    <w:basedOn w:val="TextkomentraChar"/>
    <w:link w:val="Predmetkomentra"/>
    <w:uiPriority w:val="99"/>
    <w:semiHidden/>
    <w:locked/>
    <w:rsid w:val="00785FFF"/>
    <w:rPr>
      <w:rFonts w:ascii="Arial" w:hAnsi="Arial" w:cs="Times New Roman"/>
      <w:b/>
      <w:color w:val="800080"/>
      <w:sz w:val="20"/>
      <w:u w:val="single"/>
      <w:lang w:val="sk-SK" w:eastAsia="sk-SK"/>
    </w:rPr>
  </w:style>
  <w:style w:type="paragraph" w:customStyle="1" w:styleId="CharChar1CharCharChar">
    <w:name w:val="Char Char1 Char Char Char"/>
    <w:basedOn w:val="Normlny"/>
    <w:uiPriority w:val="99"/>
    <w:rsid w:val="005D47A6"/>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8257CE"/>
    <w:pPr>
      <w:spacing w:after="160" w:line="240" w:lineRule="exact"/>
    </w:pPr>
    <w:rPr>
      <w:rFonts w:ascii="Tahoma" w:hAnsi="Tahoma" w:cs="Tahoma"/>
      <w:sz w:val="20"/>
      <w:szCs w:val="20"/>
      <w:lang w:eastAsia="en-US"/>
    </w:rPr>
  </w:style>
  <w:style w:type="paragraph" w:customStyle="1" w:styleId="CharCharCharCharCarCarCharCharCharCharCharCharCharChar">
    <w:name w:val="Char Char Char Char Car Car Char Char Char Char Char Char Char Char"/>
    <w:basedOn w:val="Normlny"/>
    <w:rsid w:val="000745A7"/>
    <w:pPr>
      <w:spacing w:after="160" w:line="240" w:lineRule="exact"/>
    </w:pPr>
    <w:rPr>
      <w:rFonts w:ascii="Tahoma" w:hAnsi="Tahoma" w:cs="Tahoma"/>
      <w:sz w:val="20"/>
      <w:szCs w:val="20"/>
      <w:lang w:eastAsia="en-US"/>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Do"/>
    <w:basedOn w:val="Normlny"/>
    <w:link w:val="OdsekzoznamuChar"/>
    <w:uiPriority w:val="34"/>
    <w:qFormat/>
    <w:rsid w:val="0053775B"/>
    <w:pPr>
      <w:ind w:left="720"/>
      <w:contextualSpacing/>
    </w:pPr>
  </w:style>
  <w:style w:type="character" w:styleId="Vrazn">
    <w:name w:val="Strong"/>
    <w:basedOn w:val="Predvolenpsmoodseku"/>
    <w:uiPriority w:val="22"/>
    <w:qFormat/>
    <w:locked/>
    <w:rsid w:val="00440DA8"/>
    <w:rPr>
      <w:rFonts w:cs="Times New Roman"/>
      <w:b/>
    </w:rPr>
  </w:style>
  <w:style w:type="paragraph" w:styleId="Textvysvetlivky">
    <w:name w:val="endnote text"/>
    <w:basedOn w:val="Normlny"/>
    <w:link w:val="TextvysvetlivkyChar"/>
    <w:uiPriority w:val="99"/>
    <w:unhideWhenUsed/>
    <w:rsid w:val="004E150C"/>
    <w:rPr>
      <w:sz w:val="20"/>
      <w:szCs w:val="20"/>
    </w:rPr>
  </w:style>
  <w:style w:type="character" w:customStyle="1" w:styleId="TextvysvetlivkyChar">
    <w:name w:val="Text vysvetlivky Char"/>
    <w:basedOn w:val="Predvolenpsmoodseku"/>
    <w:link w:val="Textvysvetlivky"/>
    <w:uiPriority w:val="99"/>
    <w:locked/>
    <w:rsid w:val="004E150C"/>
    <w:rPr>
      <w:rFonts w:ascii="Arial" w:hAnsi="Arial" w:cs="Times New Roman"/>
    </w:rPr>
  </w:style>
  <w:style w:type="character" w:styleId="Odkaznavysvetlivku">
    <w:name w:val="endnote reference"/>
    <w:basedOn w:val="Predvolenpsmoodseku"/>
    <w:uiPriority w:val="99"/>
    <w:unhideWhenUsed/>
    <w:rsid w:val="004E150C"/>
    <w:rPr>
      <w:rFonts w:cs="Times New Roman"/>
      <w:vertAlign w:val="superscript"/>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Do Char"/>
    <w:link w:val="Odsekzoznamu"/>
    <w:uiPriority w:val="34"/>
    <w:qFormat/>
    <w:locked/>
    <w:rsid w:val="00AF164F"/>
    <w:rPr>
      <w:rFonts w:ascii="Arial" w:hAnsi="Arial"/>
      <w:sz w:val="22"/>
    </w:rPr>
  </w:style>
  <w:style w:type="paragraph" w:customStyle="1" w:styleId="CharChar1">
    <w:name w:val="Char Char1"/>
    <w:basedOn w:val="Normlny"/>
    <w:uiPriority w:val="99"/>
    <w:rsid w:val="003C4A6C"/>
    <w:pPr>
      <w:spacing w:after="160" w:line="240" w:lineRule="exact"/>
    </w:pPr>
    <w:rPr>
      <w:rFonts w:ascii="Tahoma" w:hAnsi="Tahoma" w:cs="Tahoma"/>
      <w:sz w:val="20"/>
      <w:szCs w:val="20"/>
      <w:lang w:eastAsia="en-US"/>
    </w:rPr>
  </w:style>
  <w:style w:type="paragraph" w:customStyle="1" w:styleId="Zakladnystyl">
    <w:name w:val="Zakladny styl"/>
    <w:basedOn w:val="Normlny"/>
    <w:rsid w:val="00C328B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364563">
      <w:marLeft w:val="0"/>
      <w:marRight w:val="0"/>
      <w:marTop w:val="0"/>
      <w:marBottom w:val="0"/>
      <w:divBdr>
        <w:top w:val="none" w:sz="0" w:space="0" w:color="auto"/>
        <w:left w:val="none" w:sz="0" w:space="0" w:color="auto"/>
        <w:bottom w:val="none" w:sz="0" w:space="0" w:color="auto"/>
        <w:right w:val="none" w:sz="0" w:space="0" w:color="auto"/>
      </w:divBdr>
    </w:div>
    <w:div w:id="14213645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6E1BA-2199-4FC3-955E-FD4EBBDCA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2253</Words>
  <Characters>14170</Characters>
  <Application>Microsoft Office Word</Application>
  <DocSecurity>0</DocSecurity>
  <Lines>118</Lines>
  <Paragraphs>32</Paragraphs>
  <ScaleCrop>false</ScaleCrop>
  <Company>MF SR</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Systém finančného riadenia štrukturálnych fondov, Kohézneho fondu a Európskeho námorného a rybárskeho fondu na programové obdobie 2014 – 2020, verzia 1.1</dc:title>
  <dc:subject/>
  <dc:creator>Metodik3</dc:creator>
  <cp:keywords>Vlastný materiál - dodatok</cp:keywords>
  <dc:description/>
  <cp:lastModifiedBy>metodik_7</cp:lastModifiedBy>
  <cp:revision>4</cp:revision>
  <cp:lastPrinted>2023-05-03T07:32:00Z</cp:lastPrinted>
  <dcterms:created xsi:type="dcterms:W3CDTF">2026-02-25T13:12:00Z</dcterms:created>
  <dcterms:modified xsi:type="dcterms:W3CDTF">2026-02-25T13:12:00Z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658e059a,32308f6c,12534697</vt:lpwstr>
  </property>
  <property fmtid="{D5CDD505-2E9C-101B-9397-08002B2CF9AE}" pid="3" name="ClassificationContentMarkingFooterFontProps">
    <vt:lpwstr>#000000,10,Calibri</vt:lpwstr>
  </property>
  <property fmtid="{D5CDD505-2E9C-101B-9397-08002B2CF9AE}" pid="4" name="ClassificationContentMarkingFooterText">
    <vt:lpwstr>Interné</vt:lpwstr>
  </property>
  <property fmtid="{D5CDD505-2E9C-101B-9397-08002B2CF9AE}" pid="5" name="MSIP_Label_4c805978-f532-4a1a-b9e1-4e19c2c6466f_Enabled">
    <vt:lpwstr>true</vt:lpwstr>
  </property>
  <property fmtid="{D5CDD505-2E9C-101B-9397-08002B2CF9AE}" pid="6" name="MSIP_Label_4c805978-f532-4a1a-b9e1-4e19c2c6466f_SetDate">
    <vt:lpwstr>2026-02-25T13:12:35Z</vt:lpwstr>
  </property>
  <property fmtid="{D5CDD505-2E9C-101B-9397-08002B2CF9AE}" pid="7" name="MSIP_Label_4c805978-f532-4a1a-b9e1-4e19c2c6466f_Method">
    <vt:lpwstr>Standard</vt:lpwstr>
  </property>
  <property fmtid="{D5CDD505-2E9C-101B-9397-08002B2CF9AE}" pid="8" name="MSIP_Label_4c805978-f532-4a1a-b9e1-4e19c2c6466f_Name">
    <vt:lpwstr>Internal</vt:lpwstr>
  </property>
  <property fmtid="{D5CDD505-2E9C-101B-9397-08002B2CF9AE}" pid="9" name="MSIP_Label_4c805978-f532-4a1a-b9e1-4e19c2c6466f_SiteId">
    <vt:lpwstr>579df390-dbff-49fd-8f10-624670566482</vt:lpwstr>
  </property>
  <property fmtid="{D5CDD505-2E9C-101B-9397-08002B2CF9AE}" pid="10" name="MSIP_Label_4c805978-f532-4a1a-b9e1-4e19c2c6466f_ActionId">
    <vt:lpwstr>20b8ef96-5556-4bb8-8a37-1bf568ab2e97</vt:lpwstr>
  </property>
  <property fmtid="{D5CDD505-2E9C-101B-9397-08002B2CF9AE}" pid="11" name="MSIP_Label_4c805978-f532-4a1a-b9e1-4e19c2c6466f_ContentBits">
    <vt:lpwstr>2</vt:lpwstr>
  </property>
  <property fmtid="{D5CDD505-2E9C-101B-9397-08002B2CF9AE}" pid="12" name="MSIP_Label_4c805978-f532-4a1a-b9e1-4e19c2c6466f_Tag">
    <vt:lpwstr>10, 3, 0, 1</vt:lpwstr>
  </property>
</Properties>
</file>